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DD" w:rsidRPr="00AF6798" w:rsidRDefault="006811DD">
      <w:pPr>
        <w:rPr>
          <w:rFonts w:ascii="Arial Narrow" w:hAnsi="Arial Narrow"/>
          <w:b/>
          <w:sz w:val="20"/>
          <w:szCs w:val="20"/>
        </w:rPr>
      </w:pPr>
    </w:p>
    <w:p w:rsidR="006165B4" w:rsidRPr="00AF6798" w:rsidRDefault="006165B4" w:rsidP="006165B4">
      <w:pPr>
        <w:spacing w:after="0"/>
        <w:rPr>
          <w:rFonts w:ascii="Arial Narrow" w:hAnsi="Arial Narrow" w:cs="Arial"/>
          <w:b/>
          <w:sz w:val="20"/>
          <w:szCs w:val="20"/>
        </w:rPr>
      </w:pPr>
      <w:r w:rsidRPr="00AF6798">
        <w:rPr>
          <w:rFonts w:ascii="Arial Narrow" w:hAnsi="Arial Narrow" w:cs="Arial"/>
          <w:b/>
          <w:sz w:val="20"/>
          <w:szCs w:val="20"/>
        </w:rPr>
        <w:t>TURBO-MECH BERHAD (863263-D)</w:t>
      </w:r>
    </w:p>
    <w:p w:rsidR="006165B4" w:rsidRPr="00AF6798" w:rsidRDefault="006165B4" w:rsidP="006165B4">
      <w:pPr>
        <w:spacing w:after="0"/>
        <w:rPr>
          <w:rFonts w:ascii="Arial Narrow" w:hAnsi="Arial Narrow" w:cs="Arial"/>
          <w:b/>
          <w:sz w:val="20"/>
          <w:szCs w:val="20"/>
        </w:rPr>
      </w:pPr>
      <w:r w:rsidRPr="00AF6798">
        <w:rPr>
          <w:rFonts w:ascii="Arial Narrow" w:hAnsi="Arial Narrow" w:cs="Arial"/>
          <w:b/>
          <w:sz w:val="20"/>
          <w:szCs w:val="20"/>
        </w:rPr>
        <w:t xml:space="preserve">INTERIM FINANCIAL REPORT FOR THE </w:t>
      </w:r>
      <w:r w:rsidR="00723268">
        <w:rPr>
          <w:rFonts w:ascii="Arial Narrow" w:hAnsi="Arial Narrow" w:cs="Arial"/>
          <w:b/>
          <w:sz w:val="20"/>
          <w:szCs w:val="20"/>
        </w:rPr>
        <w:t>SECOND</w:t>
      </w:r>
      <w:r w:rsidRPr="00AF6798">
        <w:rPr>
          <w:rFonts w:ascii="Arial Narrow" w:hAnsi="Arial Narrow" w:cs="Arial"/>
          <w:b/>
          <w:sz w:val="20"/>
          <w:szCs w:val="20"/>
        </w:rPr>
        <w:t xml:space="preserve"> QUARTER ENDED 3</w:t>
      </w:r>
      <w:r w:rsidR="009C216A">
        <w:rPr>
          <w:rFonts w:ascii="Arial Narrow" w:hAnsi="Arial Narrow" w:cs="Arial"/>
          <w:b/>
          <w:sz w:val="20"/>
          <w:szCs w:val="20"/>
        </w:rPr>
        <w:t xml:space="preserve">0 JUNE </w:t>
      </w:r>
      <w:r w:rsidRPr="00AF6798">
        <w:rPr>
          <w:rFonts w:ascii="Arial Narrow" w:hAnsi="Arial Narrow" w:cs="Arial"/>
          <w:b/>
          <w:sz w:val="20"/>
          <w:szCs w:val="20"/>
        </w:rPr>
        <w:t>2010</w:t>
      </w:r>
    </w:p>
    <w:p w:rsidR="006165B4" w:rsidRPr="00AF6798" w:rsidRDefault="006165B4" w:rsidP="006165B4">
      <w:pPr>
        <w:spacing w:after="0"/>
        <w:rPr>
          <w:rFonts w:ascii="Arial Narrow" w:hAnsi="Arial Narrow"/>
          <w:b/>
          <w:sz w:val="20"/>
          <w:szCs w:val="20"/>
        </w:rPr>
      </w:pPr>
    </w:p>
    <w:p w:rsidR="006165B4" w:rsidRPr="00016687" w:rsidRDefault="00973D91" w:rsidP="006165B4">
      <w:pPr>
        <w:spacing w:after="0"/>
        <w:rPr>
          <w:rFonts w:ascii="Arial Narrow" w:hAnsi="Arial Narrow"/>
          <w:sz w:val="20"/>
          <w:szCs w:val="20"/>
        </w:rPr>
      </w:pPr>
      <w:r>
        <w:rPr>
          <w:rFonts w:ascii="Arial Narrow" w:hAnsi="Arial Narrow"/>
          <w:b/>
          <w:sz w:val="20"/>
          <w:szCs w:val="20"/>
        </w:rPr>
        <w:t>EXPLANATORY NOTES IN COMPLIANCE WITH FINANCIAL REPORTING STANDARDS (“FRS”) 134</w:t>
      </w:r>
      <w:r w:rsidR="006165B4" w:rsidRPr="00AF6798">
        <w:rPr>
          <w:rFonts w:ascii="Arial Narrow" w:hAnsi="Arial Narrow"/>
          <w:b/>
          <w:sz w:val="20"/>
          <w:szCs w:val="20"/>
        </w:rPr>
        <w:t xml:space="preserve"> INTERIM FINANCIAL REPORT</w:t>
      </w:r>
    </w:p>
    <w:p w:rsidR="006165B4" w:rsidRDefault="006165B4" w:rsidP="006165B4">
      <w:pPr>
        <w:spacing w:after="0"/>
        <w:rPr>
          <w:rFonts w:ascii="Arial Narrow" w:hAnsi="Arial Narrow"/>
          <w:sz w:val="20"/>
          <w:szCs w:val="20"/>
        </w:rPr>
      </w:pPr>
    </w:p>
    <w:p w:rsidR="001C1E2C" w:rsidRPr="00016687" w:rsidRDefault="001C1E2C" w:rsidP="006165B4">
      <w:pPr>
        <w:spacing w:after="0"/>
        <w:rPr>
          <w:rFonts w:ascii="Arial Narrow" w:hAnsi="Arial Narrow"/>
          <w:sz w:val="20"/>
          <w:szCs w:val="20"/>
        </w:rPr>
      </w:pPr>
    </w:p>
    <w:p w:rsidR="006165B4" w:rsidRPr="00973D91" w:rsidRDefault="00973D91" w:rsidP="00973D91">
      <w:pPr>
        <w:spacing w:after="0"/>
        <w:ind w:left="360"/>
        <w:rPr>
          <w:rFonts w:ascii="Arial Narrow" w:hAnsi="Arial Narrow"/>
          <w:b/>
          <w:sz w:val="20"/>
          <w:szCs w:val="20"/>
        </w:rPr>
      </w:pPr>
      <w:r>
        <w:rPr>
          <w:rFonts w:ascii="Arial Narrow" w:hAnsi="Arial Narrow"/>
          <w:b/>
          <w:sz w:val="20"/>
          <w:szCs w:val="20"/>
        </w:rPr>
        <w:t>A1.</w:t>
      </w:r>
      <w:r>
        <w:rPr>
          <w:rFonts w:ascii="Arial Narrow" w:hAnsi="Arial Narrow"/>
          <w:b/>
          <w:sz w:val="20"/>
          <w:szCs w:val="20"/>
        </w:rPr>
        <w:tab/>
      </w:r>
      <w:r w:rsidR="006165B4" w:rsidRPr="00973D91">
        <w:rPr>
          <w:rFonts w:ascii="Arial Narrow" w:hAnsi="Arial Narrow"/>
          <w:b/>
          <w:sz w:val="20"/>
          <w:szCs w:val="20"/>
        </w:rPr>
        <w:t>Basis of Preparation</w:t>
      </w:r>
    </w:p>
    <w:p w:rsidR="006165B4" w:rsidRDefault="006165B4" w:rsidP="00CB132F">
      <w:pPr>
        <w:pStyle w:val="ListParagraph"/>
        <w:spacing w:after="0"/>
        <w:jc w:val="both"/>
        <w:rPr>
          <w:rFonts w:ascii="Arial Narrow" w:hAnsi="Arial Narrow"/>
          <w:sz w:val="20"/>
          <w:szCs w:val="20"/>
        </w:rPr>
      </w:pPr>
    </w:p>
    <w:p w:rsidR="00CB132F" w:rsidRDefault="00CB132F" w:rsidP="00CB132F">
      <w:pPr>
        <w:pStyle w:val="ListParagraph"/>
        <w:spacing w:after="0"/>
        <w:jc w:val="both"/>
        <w:rPr>
          <w:rFonts w:ascii="Arial Narrow" w:hAnsi="Arial Narrow"/>
          <w:sz w:val="20"/>
          <w:szCs w:val="20"/>
        </w:rPr>
      </w:pPr>
      <w:r>
        <w:rPr>
          <w:rFonts w:ascii="Arial Narrow" w:hAnsi="Arial Narrow"/>
          <w:sz w:val="20"/>
          <w:szCs w:val="20"/>
        </w:rPr>
        <w:t>The interim financial statements are unaudited and have been prepared in compliance with FRS 134: Interim Financial Reporting and paragraph 9.22 of the Listing Requirements of Bursa Malaysia Securities Berhad.</w:t>
      </w:r>
      <w:r w:rsidR="0063215A">
        <w:rPr>
          <w:rFonts w:ascii="Arial Narrow" w:hAnsi="Arial Narrow"/>
          <w:sz w:val="20"/>
          <w:szCs w:val="20"/>
        </w:rPr>
        <w:t xml:space="preserve"> </w:t>
      </w:r>
    </w:p>
    <w:p w:rsidR="0063215A" w:rsidRDefault="0063215A" w:rsidP="00CB132F">
      <w:pPr>
        <w:pStyle w:val="ListParagraph"/>
        <w:spacing w:after="0"/>
        <w:jc w:val="both"/>
        <w:rPr>
          <w:rFonts w:ascii="Arial Narrow" w:hAnsi="Arial Narrow"/>
          <w:sz w:val="20"/>
          <w:szCs w:val="20"/>
        </w:rPr>
      </w:pPr>
    </w:p>
    <w:p w:rsidR="00973D91" w:rsidRDefault="00973D91" w:rsidP="00CB132F">
      <w:pPr>
        <w:pStyle w:val="ListParagraph"/>
        <w:spacing w:after="0"/>
        <w:jc w:val="both"/>
        <w:rPr>
          <w:rFonts w:ascii="Arial Narrow" w:hAnsi="Arial Narrow"/>
          <w:sz w:val="20"/>
          <w:szCs w:val="20"/>
        </w:rPr>
      </w:pPr>
      <w:r>
        <w:rPr>
          <w:rFonts w:ascii="Arial Narrow" w:hAnsi="Arial Narrow"/>
          <w:sz w:val="20"/>
          <w:szCs w:val="20"/>
        </w:rPr>
        <w:t xml:space="preserve">This is the first interim financial report on the consolidated results for the </w:t>
      </w:r>
      <w:r w:rsidR="00237BA6">
        <w:rPr>
          <w:rFonts w:ascii="Arial Narrow" w:hAnsi="Arial Narrow"/>
          <w:sz w:val="20"/>
          <w:szCs w:val="20"/>
        </w:rPr>
        <w:t>second</w:t>
      </w:r>
      <w:r>
        <w:rPr>
          <w:rFonts w:ascii="Arial Narrow" w:hAnsi="Arial Narrow"/>
          <w:sz w:val="20"/>
          <w:szCs w:val="20"/>
        </w:rPr>
        <w:t xml:space="preserve"> quarter ended 3</w:t>
      </w:r>
      <w:r w:rsidR="009C216A">
        <w:rPr>
          <w:rFonts w:ascii="Arial Narrow" w:hAnsi="Arial Narrow"/>
          <w:sz w:val="20"/>
          <w:szCs w:val="20"/>
        </w:rPr>
        <w:t>0</w:t>
      </w:r>
      <w:r>
        <w:rPr>
          <w:rFonts w:ascii="Arial Narrow" w:hAnsi="Arial Narrow"/>
          <w:sz w:val="20"/>
          <w:szCs w:val="20"/>
        </w:rPr>
        <w:t xml:space="preserve"> </w:t>
      </w:r>
      <w:r w:rsidR="009C216A">
        <w:rPr>
          <w:rFonts w:ascii="Arial Narrow" w:hAnsi="Arial Narrow"/>
          <w:sz w:val="20"/>
          <w:szCs w:val="20"/>
        </w:rPr>
        <w:t xml:space="preserve">June </w:t>
      </w:r>
      <w:r>
        <w:rPr>
          <w:rFonts w:ascii="Arial Narrow" w:hAnsi="Arial Narrow"/>
          <w:sz w:val="20"/>
          <w:szCs w:val="20"/>
        </w:rPr>
        <w:t>20</w:t>
      </w:r>
      <w:r w:rsidR="009C216A">
        <w:rPr>
          <w:rFonts w:ascii="Arial Narrow" w:hAnsi="Arial Narrow"/>
          <w:sz w:val="20"/>
          <w:szCs w:val="20"/>
        </w:rPr>
        <w:t>10</w:t>
      </w:r>
      <w:r>
        <w:rPr>
          <w:rFonts w:ascii="Arial Narrow" w:hAnsi="Arial Narrow"/>
          <w:sz w:val="20"/>
          <w:szCs w:val="20"/>
        </w:rPr>
        <w:t xml:space="preserve"> announced by the Company in compliance with the Listing Requirements and as such, there are no comparative figures for the preceding corresponding period.</w:t>
      </w:r>
    </w:p>
    <w:p w:rsidR="00973D91" w:rsidRDefault="00973D91" w:rsidP="00CB132F">
      <w:pPr>
        <w:pStyle w:val="ListParagraph"/>
        <w:spacing w:after="0"/>
        <w:jc w:val="both"/>
        <w:rPr>
          <w:rFonts w:ascii="Arial Narrow" w:hAnsi="Arial Narrow"/>
          <w:sz w:val="20"/>
          <w:szCs w:val="20"/>
        </w:rPr>
      </w:pPr>
    </w:p>
    <w:p w:rsidR="0063215A" w:rsidRDefault="0063215A" w:rsidP="00CB132F">
      <w:pPr>
        <w:pStyle w:val="ListParagraph"/>
        <w:spacing w:after="0"/>
        <w:jc w:val="both"/>
        <w:rPr>
          <w:rFonts w:ascii="Arial Narrow" w:hAnsi="Arial Narrow"/>
          <w:sz w:val="20"/>
          <w:szCs w:val="20"/>
        </w:rPr>
      </w:pPr>
      <w:r>
        <w:rPr>
          <w:rFonts w:ascii="Arial Narrow" w:hAnsi="Arial Narrow"/>
          <w:sz w:val="20"/>
          <w:szCs w:val="20"/>
        </w:rPr>
        <w:t>The interim financial statements should be read in conjunction with the proforma consolidated financial information and the Accountants’ Report for the financial year ended 31 December 2009 as disclosed in the Prospectus of the Company dated 13 April 2010 and the accompanying explanatory notes attached to the interim financial report.</w:t>
      </w:r>
    </w:p>
    <w:p w:rsidR="0063215A" w:rsidRDefault="0063215A" w:rsidP="00CB132F">
      <w:pPr>
        <w:pStyle w:val="ListParagraph"/>
        <w:spacing w:after="0"/>
        <w:jc w:val="both"/>
        <w:rPr>
          <w:rFonts w:ascii="Arial Narrow" w:hAnsi="Arial Narrow"/>
          <w:sz w:val="20"/>
          <w:szCs w:val="20"/>
        </w:rPr>
      </w:pPr>
    </w:p>
    <w:p w:rsidR="0063215A" w:rsidRDefault="0063215A" w:rsidP="00CB132F">
      <w:pPr>
        <w:pStyle w:val="ListParagraph"/>
        <w:spacing w:after="0"/>
        <w:jc w:val="both"/>
        <w:rPr>
          <w:rFonts w:ascii="Arial Narrow" w:hAnsi="Arial Narrow"/>
          <w:sz w:val="20"/>
          <w:szCs w:val="20"/>
        </w:rPr>
      </w:pPr>
      <w:r>
        <w:rPr>
          <w:rFonts w:ascii="Arial Narrow" w:hAnsi="Arial Narrow"/>
          <w:sz w:val="20"/>
          <w:szCs w:val="20"/>
        </w:rPr>
        <w:t>These explanatory notes attached to the interim financial statements provide an explanation of events and transactions that are significant to an understanding of the changes in the financial position and performance of the Group since the year ended 31 December 2009.</w:t>
      </w:r>
    </w:p>
    <w:p w:rsidR="0063215A" w:rsidRDefault="0063215A" w:rsidP="00CB132F">
      <w:pPr>
        <w:pStyle w:val="ListParagraph"/>
        <w:spacing w:after="0"/>
        <w:jc w:val="both"/>
        <w:rPr>
          <w:rFonts w:ascii="Arial Narrow" w:hAnsi="Arial Narrow"/>
          <w:sz w:val="20"/>
          <w:szCs w:val="20"/>
        </w:rPr>
      </w:pPr>
    </w:p>
    <w:p w:rsidR="0063215A" w:rsidRPr="00973D91" w:rsidRDefault="00973D91" w:rsidP="00973D91">
      <w:pPr>
        <w:spacing w:after="0"/>
        <w:ind w:left="360"/>
        <w:jc w:val="both"/>
        <w:rPr>
          <w:rFonts w:ascii="Arial Narrow" w:hAnsi="Arial Narrow"/>
          <w:b/>
          <w:sz w:val="20"/>
          <w:szCs w:val="20"/>
        </w:rPr>
      </w:pPr>
      <w:r>
        <w:rPr>
          <w:rFonts w:ascii="Arial Narrow" w:hAnsi="Arial Narrow"/>
          <w:b/>
          <w:sz w:val="20"/>
          <w:szCs w:val="20"/>
        </w:rPr>
        <w:t>A2.</w:t>
      </w:r>
      <w:r>
        <w:rPr>
          <w:rFonts w:ascii="Arial Narrow" w:hAnsi="Arial Narrow"/>
          <w:b/>
          <w:sz w:val="20"/>
          <w:szCs w:val="20"/>
        </w:rPr>
        <w:tab/>
      </w:r>
      <w:r w:rsidR="0063215A" w:rsidRPr="00973D91">
        <w:rPr>
          <w:rFonts w:ascii="Arial Narrow" w:hAnsi="Arial Narrow"/>
          <w:b/>
          <w:sz w:val="20"/>
          <w:szCs w:val="20"/>
        </w:rPr>
        <w:t>Changes in Accounting Policies</w:t>
      </w:r>
    </w:p>
    <w:p w:rsidR="0063215A" w:rsidRDefault="0063215A" w:rsidP="0063215A">
      <w:pPr>
        <w:pStyle w:val="ListParagraph"/>
        <w:spacing w:after="0"/>
        <w:jc w:val="both"/>
        <w:rPr>
          <w:rFonts w:ascii="Arial Narrow" w:hAnsi="Arial Narrow"/>
          <w:sz w:val="20"/>
          <w:szCs w:val="20"/>
        </w:rPr>
      </w:pPr>
    </w:p>
    <w:p w:rsidR="00E20C5F" w:rsidRDefault="0063215A" w:rsidP="0063215A">
      <w:pPr>
        <w:pStyle w:val="ListParagraph"/>
        <w:spacing w:after="0"/>
        <w:jc w:val="both"/>
        <w:rPr>
          <w:rFonts w:ascii="Arial Narrow" w:hAnsi="Arial Narrow"/>
          <w:sz w:val="20"/>
          <w:szCs w:val="20"/>
        </w:rPr>
      </w:pPr>
      <w:r>
        <w:rPr>
          <w:rFonts w:ascii="Arial Narrow" w:hAnsi="Arial Narrow"/>
          <w:sz w:val="20"/>
          <w:szCs w:val="20"/>
        </w:rPr>
        <w:t xml:space="preserve">The accounting policies </w:t>
      </w:r>
      <w:r w:rsidR="00D53EF4">
        <w:rPr>
          <w:rFonts w:ascii="Arial Narrow" w:hAnsi="Arial Narrow"/>
          <w:sz w:val="20"/>
          <w:szCs w:val="20"/>
        </w:rPr>
        <w:t xml:space="preserve">and method of computation adopted by the </w:t>
      </w:r>
      <w:r w:rsidR="00E43A89">
        <w:rPr>
          <w:rFonts w:ascii="Arial Narrow" w:hAnsi="Arial Narrow"/>
          <w:sz w:val="20"/>
          <w:szCs w:val="20"/>
        </w:rPr>
        <w:t>G</w:t>
      </w:r>
      <w:r w:rsidR="00D53EF4">
        <w:rPr>
          <w:rFonts w:ascii="Arial Narrow" w:hAnsi="Arial Narrow"/>
          <w:sz w:val="20"/>
          <w:szCs w:val="20"/>
        </w:rPr>
        <w:t xml:space="preserve">roup in these quarterly financial statements  </w:t>
      </w:r>
      <w:r>
        <w:rPr>
          <w:rFonts w:ascii="Arial Narrow" w:hAnsi="Arial Narrow"/>
          <w:sz w:val="20"/>
          <w:szCs w:val="20"/>
        </w:rPr>
        <w:t>are consistent wit</w:t>
      </w:r>
      <w:r w:rsidR="005B528D">
        <w:rPr>
          <w:rFonts w:ascii="Arial Narrow" w:hAnsi="Arial Narrow"/>
          <w:sz w:val="20"/>
          <w:szCs w:val="20"/>
        </w:rPr>
        <w:t xml:space="preserve">h </w:t>
      </w:r>
      <w:r w:rsidR="00D53EF4">
        <w:rPr>
          <w:rFonts w:ascii="Arial Narrow" w:hAnsi="Arial Narrow"/>
          <w:sz w:val="20"/>
          <w:szCs w:val="20"/>
        </w:rPr>
        <w:t>those adopted in the p</w:t>
      </w:r>
      <w:r w:rsidR="005B528D">
        <w:rPr>
          <w:rFonts w:ascii="Arial Narrow" w:hAnsi="Arial Narrow"/>
          <w:sz w:val="20"/>
          <w:szCs w:val="20"/>
        </w:rPr>
        <w:t xml:space="preserve">roforma consolidated financial information for the financial year ended 31 December 2009 </w:t>
      </w:r>
      <w:r w:rsidR="00E43A89">
        <w:rPr>
          <w:rFonts w:ascii="Arial Narrow" w:hAnsi="Arial Narrow"/>
          <w:sz w:val="20"/>
          <w:szCs w:val="20"/>
        </w:rPr>
        <w:t xml:space="preserve">as disclosed in the Prospectus of the Company dated 13 April 2010 </w:t>
      </w:r>
      <w:r w:rsidR="005B528D">
        <w:rPr>
          <w:rFonts w:ascii="Arial Narrow" w:hAnsi="Arial Narrow"/>
          <w:sz w:val="20"/>
          <w:szCs w:val="20"/>
        </w:rPr>
        <w:t>except for the adoption of the following new</w:t>
      </w:r>
      <w:r w:rsidR="00E43A89">
        <w:rPr>
          <w:rFonts w:ascii="Arial Narrow" w:hAnsi="Arial Narrow"/>
          <w:sz w:val="20"/>
          <w:szCs w:val="20"/>
        </w:rPr>
        <w:t xml:space="preserve"> and amended</w:t>
      </w:r>
      <w:r w:rsidR="005B528D">
        <w:rPr>
          <w:rFonts w:ascii="Arial Narrow" w:hAnsi="Arial Narrow"/>
          <w:sz w:val="20"/>
          <w:szCs w:val="20"/>
        </w:rPr>
        <w:t xml:space="preserve"> Financial Reporting Standards</w:t>
      </w:r>
      <w:r w:rsidR="00D53EF4">
        <w:rPr>
          <w:rFonts w:ascii="Arial Narrow" w:hAnsi="Arial Narrow"/>
          <w:sz w:val="20"/>
          <w:szCs w:val="20"/>
        </w:rPr>
        <w:t xml:space="preserve"> (“FRS”) and Issue Committee (“IC”) Interpretation effective for financial period beginning 1 January 2010 as follows:</w:t>
      </w:r>
    </w:p>
    <w:p w:rsidR="005B528D" w:rsidRDefault="005B528D" w:rsidP="0063215A">
      <w:pPr>
        <w:pStyle w:val="ListParagraph"/>
        <w:spacing w:after="0"/>
        <w:jc w:val="both"/>
        <w:rPr>
          <w:rFonts w:ascii="Arial Narrow" w:hAnsi="Arial Narrow"/>
          <w:sz w:val="20"/>
          <w:szCs w:val="20"/>
        </w:rPr>
      </w:pPr>
    </w:p>
    <w:p w:rsidR="005B528D" w:rsidRDefault="005B528D" w:rsidP="0063215A">
      <w:pPr>
        <w:pStyle w:val="ListParagraph"/>
        <w:spacing w:after="0"/>
        <w:jc w:val="both"/>
        <w:rPr>
          <w:rFonts w:ascii="Arial Narrow" w:hAnsi="Arial Narrow"/>
          <w:sz w:val="20"/>
          <w:szCs w:val="20"/>
        </w:rPr>
      </w:pPr>
      <w:r>
        <w:rPr>
          <w:rFonts w:ascii="Arial Narrow" w:hAnsi="Arial Narrow"/>
          <w:sz w:val="20"/>
          <w:szCs w:val="20"/>
        </w:rPr>
        <w:t>FRS 7:</w:t>
      </w:r>
      <w:r>
        <w:rPr>
          <w:rFonts w:ascii="Arial Narrow" w:hAnsi="Arial Narrow"/>
          <w:sz w:val="20"/>
          <w:szCs w:val="20"/>
        </w:rPr>
        <w:tab/>
        <w:t>Financial Instruments: Disclosures</w:t>
      </w:r>
    </w:p>
    <w:p w:rsidR="00D53EF4" w:rsidRDefault="00D53EF4" w:rsidP="0063215A">
      <w:pPr>
        <w:pStyle w:val="ListParagraph"/>
        <w:spacing w:after="0"/>
        <w:jc w:val="both"/>
        <w:rPr>
          <w:rFonts w:ascii="Arial Narrow" w:hAnsi="Arial Narrow"/>
          <w:sz w:val="20"/>
          <w:szCs w:val="20"/>
        </w:rPr>
      </w:pPr>
      <w:r>
        <w:rPr>
          <w:rFonts w:ascii="Arial Narrow" w:hAnsi="Arial Narrow"/>
          <w:sz w:val="20"/>
          <w:szCs w:val="20"/>
        </w:rPr>
        <w:t xml:space="preserve">FRS 8: </w:t>
      </w:r>
      <w:r>
        <w:rPr>
          <w:rFonts w:ascii="Arial Narrow" w:hAnsi="Arial Narrow"/>
          <w:sz w:val="20"/>
          <w:szCs w:val="20"/>
        </w:rPr>
        <w:tab/>
        <w:t>Operating Segments</w:t>
      </w:r>
    </w:p>
    <w:p w:rsidR="005B528D" w:rsidRDefault="005B528D" w:rsidP="0063215A">
      <w:pPr>
        <w:pStyle w:val="ListParagraph"/>
        <w:spacing w:after="0"/>
        <w:jc w:val="both"/>
        <w:rPr>
          <w:rFonts w:ascii="Arial Narrow" w:hAnsi="Arial Narrow"/>
          <w:sz w:val="20"/>
          <w:szCs w:val="20"/>
        </w:rPr>
      </w:pPr>
      <w:r>
        <w:rPr>
          <w:rFonts w:ascii="Arial Narrow" w:hAnsi="Arial Narrow"/>
          <w:sz w:val="20"/>
          <w:szCs w:val="20"/>
        </w:rPr>
        <w:t>FRS 101:</w:t>
      </w:r>
      <w:r>
        <w:rPr>
          <w:rFonts w:ascii="Arial Narrow" w:hAnsi="Arial Narrow"/>
          <w:sz w:val="20"/>
          <w:szCs w:val="20"/>
        </w:rPr>
        <w:tab/>
        <w:t>Presentation of Financial Statements (revised)</w:t>
      </w:r>
    </w:p>
    <w:p w:rsidR="005B528D" w:rsidRDefault="005B528D" w:rsidP="0063215A">
      <w:pPr>
        <w:pStyle w:val="ListParagraph"/>
        <w:spacing w:after="0"/>
        <w:jc w:val="both"/>
        <w:rPr>
          <w:rFonts w:ascii="Arial Narrow" w:hAnsi="Arial Narrow"/>
          <w:sz w:val="20"/>
          <w:szCs w:val="20"/>
        </w:rPr>
      </w:pPr>
      <w:r>
        <w:rPr>
          <w:rFonts w:ascii="Arial Narrow" w:hAnsi="Arial Narrow"/>
          <w:sz w:val="20"/>
          <w:szCs w:val="20"/>
        </w:rPr>
        <w:t>FRS 139: Financial Instruments: Recognition and Measurement</w:t>
      </w:r>
    </w:p>
    <w:p w:rsidR="005B528D" w:rsidRDefault="005B528D" w:rsidP="0063215A">
      <w:pPr>
        <w:pStyle w:val="ListParagraph"/>
        <w:spacing w:after="0"/>
        <w:jc w:val="both"/>
        <w:rPr>
          <w:rFonts w:ascii="Arial Narrow" w:hAnsi="Arial Narrow"/>
          <w:sz w:val="20"/>
          <w:szCs w:val="20"/>
        </w:rPr>
      </w:pPr>
      <w:r>
        <w:rPr>
          <w:rFonts w:ascii="Arial Narrow" w:hAnsi="Arial Narrow"/>
          <w:sz w:val="20"/>
          <w:szCs w:val="20"/>
        </w:rPr>
        <w:t>Amendments to FRS 1: First-time Adoption of Financial Reporting Standards and FRS 127: Consolidated and Separate Financial Statements: Cost of an Investments in a Subsidiary, Jointly Controlled Entity or Associate.</w:t>
      </w:r>
    </w:p>
    <w:p w:rsidR="005B528D" w:rsidRDefault="005B528D" w:rsidP="0063215A">
      <w:pPr>
        <w:pStyle w:val="ListParagraph"/>
        <w:spacing w:after="0"/>
        <w:jc w:val="both"/>
        <w:rPr>
          <w:rFonts w:ascii="Arial Narrow" w:hAnsi="Arial Narrow"/>
          <w:sz w:val="20"/>
          <w:szCs w:val="20"/>
        </w:rPr>
      </w:pPr>
      <w:r>
        <w:rPr>
          <w:rFonts w:ascii="Arial Narrow" w:hAnsi="Arial Narrow"/>
          <w:sz w:val="20"/>
          <w:szCs w:val="20"/>
        </w:rPr>
        <w:t>Amendments to FRS 132: Financial Instruments: Presentation</w:t>
      </w:r>
    </w:p>
    <w:p w:rsidR="005B528D" w:rsidRDefault="005B528D" w:rsidP="005B528D">
      <w:pPr>
        <w:pStyle w:val="ListParagraph"/>
        <w:spacing w:after="0"/>
        <w:jc w:val="both"/>
        <w:rPr>
          <w:rFonts w:ascii="Arial Narrow" w:hAnsi="Arial Narrow"/>
          <w:sz w:val="20"/>
          <w:szCs w:val="20"/>
        </w:rPr>
      </w:pPr>
      <w:r>
        <w:rPr>
          <w:rFonts w:ascii="Arial Narrow" w:hAnsi="Arial Narrow"/>
          <w:sz w:val="20"/>
          <w:szCs w:val="20"/>
        </w:rPr>
        <w:t>Amendments to FRS 139: Financial Instruments: Recognition and Measurement, FRS 7: Financial Instruments: Disclosures and IC interpretation 9: Reassessment of Embedded Derivatives.</w:t>
      </w:r>
    </w:p>
    <w:p w:rsidR="005B528D" w:rsidRDefault="00E20C5F" w:rsidP="005B528D">
      <w:pPr>
        <w:pStyle w:val="ListParagraph"/>
        <w:spacing w:after="0"/>
        <w:jc w:val="both"/>
        <w:rPr>
          <w:rFonts w:ascii="Arial Narrow" w:hAnsi="Arial Narrow"/>
          <w:sz w:val="20"/>
          <w:szCs w:val="20"/>
        </w:rPr>
      </w:pPr>
      <w:r>
        <w:rPr>
          <w:rFonts w:ascii="Arial Narrow" w:hAnsi="Arial Narrow"/>
          <w:sz w:val="20"/>
          <w:szCs w:val="20"/>
        </w:rPr>
        <w:t>Amendments to FRSs ‘Improvements to FRSs (2009)’</w:t>
      </w:r>
    </w:p>
    <w:p w:rsidR="00E20C5F" w:rsidRDefault="00E20C5F" w:rsidP="005B528D">
      <w:pPr>
        <w:pStyle w:val="ListParagraph"/>
        <w:spacing w:after="0"/>
        <w:jc w:val="both"/>
        <w:rPr>
          <w:rFonts w:ascii="Arial Narrow" w:hAnsi="Arial Narrow"/>
          <w:sz w:val="20"/>
          <w:szCs w:val="20"/>
        </w:rPr>
      </w:pPr>
      <w:r>
        <w:rPr>
          <w:rFonts w:ascii="Arial Narrow" w:hAnsi="Arial Narrow"/>
          <w:sz w:val="20"/>
          <w:szCs w:val="20"/>
        </w:rPr>
        <w:t>IC Interpretation 10: Interim Financial Reporting and Impairment</w:t>
      </w:r>
    </w:p>
    <w:p w:rsidR="00F45F62" w:rsidRDefault="00F45F62" w:rsidP="0063215A">
      <w:pPr>
        <w:pStyle w:val="ListParagraph"/>
        <w:spacing w:after="0"/>
        <w:jc w:val="both"/>
        <w:rPr>
          <w:rFonts w:ascii="Arial Narrow" w:hAnsi="Arial Narrow"/>
          <w:sz w:val="20"/>
          <w:szCs w:val="20"/>
        </w:rPr>
      </w:pPr>
      <w:r>
        <w:rPr>
          <w:rFonts w:ascii="Arial Narrow" w:hAnsi="Arial Narrow"/>
          <w:sz w:val="20"/>
          <w:szCs w:val="20"/>
        </w:rPr>
        <w:t>:</w:t>
      </w:r>
    </w:p>
    <w:p w:rsidR="00F45F62" w:rsidRDefault="00F45F62" w:rsidP="0063215A">
      <w:pPr>
        <w:pStyle w:val="ListParagraph"/>
        <w:spacing w:after="0"/>
        <w:jc w:val="both"/>
        <w:rPr>
          <w:rFonts w:ascii="Arial Narrow" w:hAnsi="Arial Narrow"/>
          <w:sz w:val="20"/>
          <w:szCs w:val="20"/>
        </w:rPr>
      </w:pPr>
    </w:p>
    <w:p w:rsidR="00F45F62" w:rsidRPr="00F45F62" w:rsidRDefault="00F45F62" w:rsidP="00F45F62">
      <w:pPr>
        <w:spacing w:after="0"/>
        <w:jc w:val="both"/>
        <w:rPr>
          <w:rFonts w:ascii="Arial Narrow" w:hAnsi="Arial Narrow"/>
          <w:sz w:val="20"/>
          <w:szCs w:val="20"/>
        </w:rPr>
      </w:pPr>
    </w:p>
    <w:p w:rsidR="00E20C5F" w:rsidRPr="00AF6798" w:rsidRDefault="00E20C5F" w:rsidP="00E20C5F">
      <w:pPr>
        <w:rPr>
          <w:rFonts w:ascii="Arial Narrow" w:hAnsi="Arial Narrow"/>
          <w:b/>
          <w:sz w:val="20"/>
          <w:szCs w:val="20"/>
        </w:rPr>
      </w:pPr>
    </w:p>
    <w:p w:rsidR="000A152A" w:rsidRDefault="000A152A" w:rsidP="00E20C5F">
      <w:pPr>
        <w:spacing w:after="0"/>
        <w:rPr>
          <w:rFonts w:ascii="Arial Narrow" w:hAnsi="Arial Narrow" w:cs="Arial"/>
          <w:b/>
          <w:sz w:val="20"/>
          <w:szCs w:val="20"/>
        </w:rPr>
      </w:pPr>
    </w:p>
    <w:p w:rsidR="000A152A" w:rsidRDefault="000A152A" w:rsidP="00E20C5F">
      <w:pPr>
        <w:spacing w:after="0"/>
        <w:rPr>
          <w:rFonts w:ascii="Arial Narrow" w:hAnsi="Arial Narrow" w:cs="Arial"/>
          <w:b/>
          <w:sz w:val="20"/>
          <w:szCs w:val="20"/>
        </w:rPr>
      </w:pPr>
    </w:p>
    <w:p w:rsidR="00E20C5F" w:rsidRPr="00AF6798" w:rsidRDefault="00E20C5F" w:rsidP="00E20C5F">
      <w:pPr>
        <w:spacing w:after="0"/>
        <w:rPr>
          <w:rFonts w:ascii="Arial Narrow" w:hAnsi="Arial Narrow" w:cs="Arial"/>
          <w:b/>
          <w:sz w:val="20"/>
          <w:szCs w:val="20"/>
        </w:rPr>
      </w:pPr>
      <w:r w:rsidRPr="00AF6798">
        <w:rPr>
          <w:rFonts w:ascii="Arial Narrow" w:hAnsi="Arial Narrow" w:cs="Arial"/>
          <w:b/>
          <w:sz w:val="20"/>
          <w:szCs w:val="20"/>
        </w:rPr>
        <w:t>TURBO-MECH BERHAD (863263-D)</w:t>
      </w:r>
    </w:p>
    <w:p w:rsidR="00E20C5F" w:rsidRPr="00AF6798" w:rsidRDefault="00E20C5F" w:rsidP="00E20C5F">
      <w:pPr>
        <w:spacing w:after="0"/>
        <w:rPr>
          <w:rFonts w:ascii="Arial Narrow" w:hAnsi="Arial Narrow" w:cs="Arial"/>
          <w:b/>
          <w:sz w:val="20"/>
          <w:szCs w:val="20"/>
        </w:rPr>
      </w:pPr>
      <w:r w:rsidRPr="00AF6798">
        <w:rPr>
          <w:rFonts w:ascii="Arial Narrow" w:hAnsi="Arial Narrow" w:cs="Arial"/>
          <w:b/>
          <w:sz w:val="20"/>
          <w:szCs w:val="20"/>
        </w:rPr>
        <w:t xml:space="preserve">INTERIM FINANCIAL REPORT FOR THE </w:t>
      </w:r>
      <w:r w:rsidR="00723268">
        <w:rPr>
          <w:rFonts w:ascii="Arial Narrow" w:hAnsi="Arial Narrow" w:cs="Arial"/>
          <w:b/>
          <w:sz w:val="20"/>
          <w:szCs w:val="20"/>
        </w:rPr>
        <w:t>SECOND</w:t>
      </w:r>
      <w:r w:rsidRPr="00AF6798">
        <w:rPr>
          <w:rFonts w:ascii="Arial Narrow" w:hAnsi="Arial Narrow" w:cs="Arial"/>
          <w:b/>
          <w:sz w:val="20"/>
          <w:szCs w:val="20"/>
        </w:rPr>
        <w:t xml:space="preserve"> QUARTER ENDED 3</w:t>
      </w:r>
      <w:r w:rsidR="009C216A">
        <w:rPr>
          <w:rFonts w:ascii="Arial Narrow" w:hAnsi="Arial Narrow" w:cs="Arial"/>
          <w:b/>
          <w:sz w:val="20"/>
          <w:szCs w:val="20"/>
        </w:rPr>
        <w:t>0 JUNE</w:t>
      </w:r>
      <w:r w:rsidRPr="00AF6798">
        <w:rPr>
          <w:rFonts w:ascii="Arial Narrow" w:hAnsi="Arial Narrow" w:cs="Arial"/>
          <w:b/>
          <w:sz w:val="20"/>
          <w:szCs w:val="20"/>
        </w:rPr>
        <w:t xml:space="preserve"> 2010</w:t>
      </w:r>
    </w:p>
    <w:p w:rsidR="00E20C5F" w:rsidRPr="00AF6798" w:rsidRDefault="00E20C5F" w:rsidP="00E20C5F">
      <w:pPr>
        <w:spacing w:after="0"/>
        <w:rPr>
          <w:rFonts w:ascii="Arial Narrow" w:hAnsi="Arial Narrow"/>
          <w:b/>
          <w:sz w:val="20"/>
          <w:szCs w:val="20"/>
        </w:rPr>
      </w:pPr>
    </w:p>
    <w:p w:rsidR="00F45F62" w:rsidRPr="00016687" w:rsidRDefault="00F45F62" w:rsidP="00F45F62">
      <w:pPr>
        <w:spacing w:after="0"/>
        <w:rPr>
          <w:rFonts w:ascii="Arial Narrow" w:hAnsi="Arial Narrow"/>
          <w:sz w:val="20"/>
          <w:szCs w:val="20"/>
        </w:rPr>
      </w:pPr>
      <w:r>
        <w:rPr>
          <w:rFonts w:ascii="Arial Narrow" w:hAnsi="Arial Narrow"/>
          <w:b/>
          <w:sz w:val="20"/>
          <w:szCs w:val="20"/>
        </w:rPr>
        <w:t>EXPLANATORY NOTES IN COMPLIANCE WITH FINANCIAL REPORTING STANDARDS (“FRS”) 134</w:t>
      </w:r>
      <w:r w:rsidRPr="00AF6798">
        <w:rPr>
          <w:rFonts w:ascii="Arial Narrow" w:hAnsi="Arial Narrow"/>
          <w:b/>
          <w:sz w:val="20"/>
          <w:szCs w:val="20"/>
        </w:rPr>
        <w:t xml:space="preserve"> INTERIM FINANCIAL REPORT</w:t>
      </w:r>
      <w:r>
        <w:rPr>
          <w:rFonts w:ascii="Arial Narrow" w:hAnsi="Arial Narrow"/>
          <w:b/>
          <w:sz w:val="20"/>
          <w:szCs w:val="20"/>
        </w:rPr>
        <w:t xml:space="preserve"> (CONT’D)</w:t>
      </w:r>
    </w:p>
    <w:p w:rsidR="00CB132F" w:rsidRDefault="00CB132F" w:rsidP="00CB132F">
      <w:pPr>
        <w:pStyle w:val="ListParagraph"/>
        <w:spacing w:after="0"/>
        <w:jc w:val="both"/>
        <w:rPr>
          <w:rFonts w:ascii="Arial Narrow" w:hAnsi="Arial Narrow"/>
          <w:b/>
          <w:sz w:val="20"/>
          <w:szCs w:val="20"/>
        </w:rPr>
      </w:pPr>
    </w:p>
    <w:p w:rsidR="00F45F62" w:rsidRDefault="00F45F62" w:rsidP="00F45F62">
      <w:pPr>
        <w:pStyle w:val="ListParagraph"/>
        <w:spacing w:after="0"/>
        <w:jc w:val="both"/>
        <w:rPr>
          <w:rFonts w:ascii="Arial Narrow" w:hAnsi="Arial Narrow"/>
          <w:sz w:val="20"/>
          <w:szCs w:val="20"/>
        </w:rPr>
      </w:pPr>
    </w:p>
    <w:p w:rsidR="00F45F62" w:rsidRDefault="00F45F62" w:rsidP="00F45F62">
      <w:pPr>
        <w:pStyle w:val="ListParagraph"/>
        <w:spacing w:after="0"/>
        <w:jc w:val="both"/>
        <w:rPr>
          <w:rFonts w:ascii="Arial Narrow" w:hAnsi="Arial Narrow"/>
          <w:sz w:val="20"/>
          <w:szCs w:val="20"/>
        </w:rPr>
      </w:pPr>
      <w:r>
        <w:rPr>
          <w:rFonts w:ascii="Arial Narrow" w:hAnsi="Arial Narrow"/>
          <w:sz w:val="20"/>
          <w:szCs w:val="20"/>
        </w:rPr>
        <w:t>The principal effects of the changes in presentation, changes in methods of computation and in accounting policies resulting from the adoption of the new and revised FRSs, IC Interpretations and Amendments are set out below</w:t>
      </w:r>
    </w:p>
    <w:p w:rsidR="00E43A89" w:rsidRDefault="00E43A89" w:rsidP="00F45F62">
      <w:pPr>
        <w:pStyle w:val="ListParagraph"/>
        <w:spacing w:after="0"/>
        <w:jc w:val="both"/>
        <w:rPr>
          <w:rFonts w:ascii="Arial Narrow" w:hAnsi="Arial Narrow"/>
          <w:b/>
          <w:sz w:val="20"/>
          <w:szCs w:val="20"/>
        </w:rPr>
      </w:pPr>
    </w:p>
    <w:p w:rsidR="00F45F62" w:rsidRDefault="00D04ADE" w:rsidP="00F45F62">
      <w:pPr>
        <w:pStyle w:val="ListParagraph"/>
        <w:numPr>
          <w:ilvl w:val="0"/>
          <w:numId w:val="8"/>
        </w:numPr>
        <w:spacing w:after="0"/>
        <w:jc w:val="both"/>
        <w:rPr>
          <w:rFonts w:ascii="Arial Narrow" w:hAnsi="Arial Narrow"/>
          <w:sz w:val="20"/>
          <w:szCs w:val="20"/>
        </w:rPr>
      </w:pPr>
      <w:r>
        <w:rPr>
          <w:rFonts w:ascii="Arial Narrow" w:hAnsi="Arial Narrow"/>
          <w:sz w:val="20"/>
          <w:szCs w:val="20"/>
        </w:rPr>
        <w:t>FRS 101: Presentation of Financial Statements (Revised)</w:t>
      </w:r>
    </w:p>
    <w:p w:rsidR="00E43A89" w:rsidRDefault="00E43A89" w:rsidP="00B53006">
      <w:pPr>
        <w:pStyle w:val="ListParagraph"/>
        <w:ind w:left="1080"/>
        <w:rPr>
          <w:rFonts w:ascii="Arial Narrow" w:hAnsi="Arial Narrow"/>
          <w:sz w:val="20"/>
          <w:szCs w:val="20"/>
        </w:rPr>
      </w:pPr>
    </w:p>
    <w:p w:rsidR="00B53006" w:rsidRDefault="00D04ADE" w:rsidP="00B53006">
      <w:pPr>
        <w:pStyle w:val="ListParagraph"/>
        <w:ind w:left="1080"/>
        <w:rPr>
          <w:rFonts w:ascii="Arial Narrow" w:hAnsi="Arial Narrow"/>
          <w:sz w:val="20"/>
          <w:szCs w:val="20"/>
        </w:rPr>
      </w:pPr>
      <w:r>
        <w:rPr>
          <w:rFonts w:ascii="Arial Narrow" w:hAnsi="Arial Narrow"/>
          <w:sz w:val="20"/>
          <w:szCs w:val="20"/>
        </w:rPr>
        <w:t>The revised FRS 101 separates owner and non-owner changes in equity. Therefore, the consolidated statement of changes in equity only includes details of transactions with owners. All non-owner changes in equity, if any, will be presented as a single line</w:t>
      </w:r>
      <w:r w:rsidRPr="003923D8">
        <w:rPr>
          <w:rFonts w:ascii="Arial Narrow" w:hAnsi="Arial Narrow"/>
          <w:sz w:val="20"/>
          <w:szCs w:val="20"/>
          <w:lang w:val="en-GB"/>
        </w:rPr>
        <w:t xml:space="preserve"> labelled</w:t>
      </w:r>
      <w:r>
        <w:rPr>
          <w:rFonts w:ascii="Arial Narrow" w:hAnsi="Arial Narrow"/>
          <w:sz w:val="20"/>
          <w:szCs w:val="20"/>
        </w:rPr>
        <w:t xml:space="preserve"> as total comprehensive </w:t>
      </w:r>
      <w:r w:rsidR="00B53006">
        <w:rPr>
          <w:rFonts w:ascii="Arial Narrow" w:hAnsi="Arial Narrow"/>
          <w:sz w:val="20"/>
          <w:szCs w:val="20"/>
        </w:rPr>
        <w:t>income. In addition, the consolidated balance sheet was renamed as the consolidated statement of financial position in the interim financial report. This standard did not have any impact on the financial position and results of the Group.</w:t>
      </w:r>
    </w:p>
    <w:p w:rsidR="00B53006" w:rsidRDefault="00B53006" w:rsidP="00B53006">
      <w:pPr>
        <w:pStyle w:val="ListParagraph"/>
        <w:ind w:left="1080"/>
        <w:rPr>
          <w:rFonts w:ascii="Arial Narrow" w:hAnsi="Arial Narrow"/>
          <w:sz w:val="20"/>
          <w:szCs w:val="20"/>
        </w:rPr>
      </w:pPr>
    </w:p>
    <w:p w:rsidR="00B53006" w:rsidRDefault="00B53006" w:rsidP="00B53006">
      <w:pPr>
        <w:pStyle w:val="ListParagraph"/>
        <w:ind w:left="1080"/>
        <w:rPr>
          <w:rFonts w:ascii="Arial Narrow" w:hAnsi="Arial Narrow"/>
          <w:sz w:val="20"/>
          <w:szCs w:val="20"/>
        </w:rPr>
      </w:pPr>
      <w:r>
        <w:rPr>
          <w:rFonts w:ascii="Arial Narrow" w:hAnsi="Arial Narrow"/>
          <w:sz w:val="20"/>
          <w:szCs w:val="20"/>
        </w:rPr>
        <w:t>The effects of the change in presentation are as follows:</w:t>
      </w:r>
    </w:p>
    <w:p w:rsidR="00B53006" w:rsidRDefault="00B53006" w:rsidP="00B53006">
      <w:pPr>
        <w:pStyle w:val="ListParagraph"/>
        <w:ind w:left="1080"/>
        <w:rPr>
          <w:rFonts w:ascii="Arial Narrow" w:hAnsi="Arial Narrow"/>
          <w:sz w:val="20"/>
          <w:szCs w:val="20"/>
        </w:rPr>
      </w:pPr>
    </w:p>
    <w:p w:rsidR="00B53006" w:rsidRDefault="00B53006" w:rsidP="00B53006">
      <w:pPr>
        <w:pStyle w:val="ListParagraph"/>
        <w:numPr>
          <w:ilvl w:val="0"/>
          <w:numId w:val="9"/>
        </w:numPr>
        <w:rPr>
          <w:rFonts w:ascii="Arial Narrow" w:hAnsi="Arial Narrow"/>
          <w:sz w:val="20"/>
          <w:szCs w:val="20"/>
        </w:rPr>
      </w:pPr>
      <w:r>
        <w:rPr>
          <w:rFonts w:ascii="Arial Narrow" w:hAnsi="Arial Narrow"/>
          <w:sz w:val="20"/>
          <w:szCs w:val="20"/>
        </w:rPr>
        <w:t>The gains and losses that were recognized directly in the statement of income and taken into equity, in the preceding year corresponding period are presented as components in other comprehensive income in the statement of comprehensive income.</w:t>
      </w:r>
      <w:r w:rsidR="0099546B">
        <w:rPr>
          <w:rFonts w:ascii="Arial Narrow" w:hAnsi="Arial Narrow"/>
          <w:sz w:val="20"/>
          <w:szCs w:val="20"/>
        </w:rPr>
        <w:t xml:space="preserve"> The total comprehensive income for the preceding year corresponding period is presented separately.</w:t>
      </w:r>
    </w:p>
    <w:p w:rsidR="002B7186" w:rsidRDefault="002B7186" w:rsidP="002B7186">
      <w:pPr>
        <w:pStyle w:val="ListParagraph"/>
        <w:ind w:left="1440"/>
        <w:rPr>
          <w:rFonts w:ascii="Arial Narrow" w:hAnsi="Arial Narrow"/>
          <w:sz w:val="20"/>
          <w:szCs w:val="20"/>
        </w:rPr>
      </w:pPr>
    </w:p>
    <w:tbl>
      <w:tblPr>
        <w:tblStyle w:val="TableGrid"/>
        <w:tblW w:w="0" w:type="auto"/>
        <w:tblInd w:w="1080" w:type="dxa"/>
        <w:tblLook w:val="04A0"/>
      </w:tblPr>
      <w:tblGrid>
        <w:gridCol w:w="2170"/>
        <w:gridCol w:w="2090"/>
        <w:gridCol w:w="2067"/>
        <w:gridCol w:w="2169"/>
      </w:tblGrid>
      <w:tr w:rsidR="0099546B" w:rsidTr="002B7186">
        <w:tc>
          <w:tcPr>
            <w:tcW w:w="2170" w:type="dxa"/>
            <w:vAlign w:val="bottom"/>
          </w:tcPr>
          <w:p w:rsidR="0099546B" w:rsidRDefault="0099546B" w:rsidP="009C216A">
            <w:pPr>
              <w:pStyle w:val="ListParagraph"/>
              <w:ind w:left="0"/>
              <w:jc w:val="center"/>
              <w:rPr>
                <w:rFonts w:ascii="Arial Narrow" w:hAnsi="Arial Narrow"/>
                <w:sz w:val="20"/>
                <w:szCs w:val="20"/>
              </w:rPr>
            </w:pPr>
            <w:r>
              <w:rPr>
                <w:rFonts w:ascii="Arial Narrow" w:hAnsi="Arial Narrow"/>
                <w:sz w:val="20"/>
                <w:szCs w:val="20"/>
              </w:rPr>
              <w:t>For the period ended 3</w:t>
            </w:r>
            <w:r w:rsidR="009C216A">
              <w:rPr>
                <w:rFonts w:ascii="Arial Narrow" w:hAnsi="Arial Narrow"/>
                <w:sz w:val="20"/>
                <w:szCs w:val="20"/>
              </w:rPr>
              <w:t>0</w:t>
            </w:r>
            <w:r>
              <w:rPr>
                <w:rFonts w:ascii="Arial Narrow" w:hAnsi="Arial Narrow"/>
                <w:sz w:val="20"/>
                <w:szCs w:val="20"/>
              </w:rPr>
              <w:t xml:space="preserve"> </w:t>
            </w:r>
            <w:r w:rsidR="009C216A">
              <w:rPr>
                <w:rFonts w:ascii="Arial Narrow" w:hAnsi="Arial Narrow"/>
                <w:sz w:val="20"/>
                <w:szCs w:val="20"/>
              </w:rPr>
              <w:t xml:space="preserve">June </w:t>
            </w:r>
            <w:r>
              <w:rPr>
                <w:rFonts w:ascii="Arial Narrow" w:hAnsi="Arial Narrow"/>
                <w:sz w:val="20"/>
                <w:szCs w:val="20"/>
              </w:rPr>
              <w:t>20</w:t>
            </w:r>
            <w:r w:rsidR="00E43A89">
              <w:rPr>
                <w:rFonts w:ascii="Arial Narrow" w:hAnsi="Arial Narrow"/>
                <w:sz w:val="20"/>
                <w:szCs w:val="20"/>
              </w:rPr>
              <w:t>1</w:t>
            </w:r>
            <w:r>
              <w:rPr>
                <w:rFonts w:ascii="Arial Narrow" w:hAnsi="Arial Narrow"/>
                <w:sz w:val="20"/>
                <w:szCs w:val="20"/>
              </w:rPr>
              <w:t>0</w:t>
            </w:r>
          </w:p>
        </w:tc>
        <w:tc>
          <w:tcPr>
            <w:tcW w:w="2090" w:type="dxa"/>
            <w:vAlign w:val="bottom"/>
          </w:tcPr>
          <w:p w:rsidR="0099546B" w:rsidRDefault="0099546B" w:rsidP="0099546B">
            <w:pPr>
              <w:pStyle w:val="ListParagraph"/>
              <w:ind w:left="0"/>
              <w:jc w:val="center"/>
              <w:rPr>
                <w:rFonts w:ascii="Arial Narrow" w:hAnsi="Arial Narrow"/>
                <w:sz w:val="20"/>
                <w:szCs w:val="20"/>
              </w:rPr>
            </w:pPr>
            <w:r>
              <w:rPr>
                <w:rFonts w:ascii="Arial Narrow" w:hAnsi="Arial Narrow"/>
                <w:sz w:val="20"/>
                <w:szCs w:val="20"/>
              </w:rPr>
              <w:t>Income statement as previously reported</w:t>
            </w:r>
          </w:p>
          <w:p w:rsidR="0099546B" w:rsidRDefault="0099546B" w:rsidP="0099546B">
            <w:pPr>
              <w:pStyle w:val="ListParagraph"/>
              <w:ind w:left="0"/>
              <w:jc w:val="center"/>
              <w:rPr>
                <w:rFonts w:ascii="Arial Narrow" w:hAnsi="Arial Narrow"/>
                <w:sz w:val="20"/>
                <w:szCs w:val="20"/>
              </w:rPr>
            </w:pPr>
            <w:r>
              <w:rPr>
                <w:rFonts w:ascii="Arial Narrow" w:hAnsi="Arial Narrow"/>
                <w:sz w:val="20"/>
                <w:szCs w:val="20"/>
              </w:rPr>
              <w:t>RM’000</w:t>
            </w:r>
          </w:p>
        </w:tc>
        <w:tc>
          <w:tcPr>
            <w:tcW w:w="2067" w:type="dxa"/>
            <w:vAlign w:val="bottom"/>
          </w:tcPr>
          <w:p w:rsidR="0099546B" w:rsidRDefault="0099546B" w:rsidP="0099546B">
            <w:pPr>
              <w:pStyle w:val="ListParagraph"/>
              <w:ind w:left="0"/>
              <w:jc w:val="center"/>
              <w:rPr>
                <w:rFonts w:ascii="Arial Narrow" w:hAnsi="Arial Narrow"/>
                <w:sz w:val="20"/>
                <w:szCs w:val="20"/>
              </w:rPr>
            </w:pPr>
            <w:r>
              <w:rPr>
                <w:rFonts w:ascii="Arial Narrow" w:hAnsi="Arial Narrow"/>
                <w:sz w:val="20"/>
                <w:szCs w:val="20"/>
              </w:rPr>
              <w:t>Effects of adopting FRS 101</w:t>
            </w:r>
          </w:p>
          <w:p w:rsidR="0099546B" w:rsidRDefault="0099546B" w:rsidP="0099546B">
            <w:pPr>
              <w:pStyle w:val="ListParagraph"/>
              <w:ind w:left="0"/>
              <w:jc w:val="center"/>
              <w:rPr>
                <w:rFonts w:ascii="Arial Narrow" w:hAnsi="Arial Narrow"/>
                <w:sz w:val="20"/>
                <w:szCs w:val="20"/>
              </w:rPr>
            </w:pPr>
            <w:r>
              <w:rPr>
                <w:rFonts w:ascii="Arial Narrow" w:hAnsi="Arial Narrow"/>
                <w:sz w:val="20"/>
                <w:szCs w:val="20"/>
              </w:rPr>
              <w:t>RM’000</w:t>
            </w:r>
          </w:p>
        </w:tc>
        <w:tc>
          <w:tcPr>
            <w:tcW w:w="2169" w:type="dxa"/>
            <w:vAlign w:val="bottom"/>
          </w:tcPr>
          <w:p w:rsidR="0099546B" w:rsidRDefault="0099546B" w:rsidP="0099546B">
            <w:pPr>
              <w:pStyle w:val="ListParagraph"/>
              <w:ind w:left="0"/>
              <w:jc w:val="center"/>
              <w:rPr>
                <w:rFonts w:ascii="Arial Narrow" w:hAnsi="Arial Narrow"/>
                <w:sz w:val="20"/>
                <w:szCs w:val="20"/>
              </w:rPr>
            </w:pPr>
            <w:r>
              <w:rPr>
                <w:rFonts w:ascii="Arial Narrow" w:hAnsi="Arial Narrow"/>
                <w:sz w:val="20"/>
                <w:szCs w:val="20"/>
              </w:rPr>
              <w:t>Statement of comprehensive income</w:t>
            </w:r>
          </w:p>
          <w:p w:rsidR="0099546B" w:rsidRDefault="0099546B" w:rsidP="0099546B">
            <w:pPr>
              <w:pStyle w:val="ListParagraph"/>
              <w:ind w:left="0"/>
              <w:jc w:val="center"/>
              <w:rPr>
                <w:rFonts w:ascii="Arial Narrow" w:hAnsi="Arial Narrow"/>
                <w:sz w:val="20"/>
                <w:szCs w:val="20"/>
              </w:rPr>
            </w:pPr>
            <w:r>
              <w:rPr>
                <w:rFonts w:ascii="Arial Narrow" w:hAnsi="Arial Narrow"/>
                <w:sz w:val="20"/>
                <w:szCs w:val="20"/>
              </w:rPr>
              <w:t>As restated</w:t>
            </w:r>
          </w:p>
          <w:p w:rsidR="0099546B" w:rsidRDefault="0099546B" w:rsidP="0099546B">
            <w:pPr>
              <w:pStyle w:val="ListParagraph"/>
              <w:ind w:left="0"/>
              <w:jc w:val="center"/>
              <w:rPr>
                <w:rFonts w:ascii="Arial Narrow" w:hAnsi="Arial Narrow"/>
                <w:sz w:val="20"/>
                <w:szCs w:val="20"/>
              </w:rPr>
            </w:pPr>
            <w:r>
              <w:rPr>
                <w:rFonts w:ascii="Arial Narrow" w:hAnsi="Arial Narrow"/>
                <w:sz w:val="20"/>
                <w:szCs w:val="20"/>
              </w:rPr>
              <w:t>RM’000</w:t>
            </w:r>
          </w:p>
        </w:tc>
      </w:tr>
      <w:tr w:rsidR="0099546B" w:rsidTr="002B7186">
        <w:tc>
          <w:tcPr>
            <w:tcW w:w="2170" w:type="dxa"/>
            <w:vAlign w:val="bottom"/>
          </w:tcPr>
          <w:p w:rsidR="0099546B" w:rsidRDefault="0099546B" w:rsidP="0099546B">
            <w:pPr>
              <w:pStyle w:val="ListParagraph"/>
              <w:ind w:left="0"/>
              <w:rPr>
                <w:rFonts w:ascii="Arial Narrow" w:hAnsi="Arial Narrow"/>
                <w:sz w:val="20"/>
                <w:szCs w:val="20"/>
              </w:rPr>
            </w:pPr>
            <w:r>
              <w:rPr>
                <w:rFonts w:ascii="Arial Narrow" w:hAnsi="Arial Narrow"/>
                <w:sz w:val="20"/>
                <w:szCs w:val="20"/>
              </w:rPr>
              <w:t>Profit for the period</w:t>
            </w:r>
          </w:p>
        </w:tc>
        <w:tc>
          <w:tcPr>
            <w:tcW w:w="2090" w:type="dxa"/>
            <w:vAlign w:val="bottom"/>
          </w:tcPr>
          <w:p w:rsidR="0099546B" w:rsidRDefault="002A4AE9" w:rsidP="002A4AE9">
            <w:pPr>
              <w:pStyle w:val="ListParagraph"/>
              <w:ind w:left="0"/>
              <w:jc w:val="center"/>
              <w:rPr>
                <w:rFonts w:ascii="Arial Narrow" w:hAnsi="Arial Narrow"/>
                <w:sz w:val="20"/>
                <w:szCs w:val="20"/>
              </w:rPr>
            </w:pPr>
            <w:r>
              <w:rPr>
                <w:rFonts w:ascii="Arial Narrow" w:hAnsi="Arial Narrow"/>
                <w:sz w:val="20"/>
                <w:szCs w:val="20"/>
              </w:rPr>
              <w:t>4</w:t>
            </w:r>
            <w:r w:rsidR="009C216A">
              <w:rPr>
                <w:rFonts w:ascii="Arial Narrow" w:hAnsi="Arial Narrow"/>
                <w:sz w:val="20"/>
                <w:szCs w:val="20"/>
              </w:rPr>
              <w:t>,</w:t>
            </w:r>
            <w:r>
              <w:rPr>
                <w:rFonts w:ascii="Arial Narrow" w:hAnsi="Arial Narrow"/>
                <w:sz w:val="20"/>
                <w:szCs w:val="20"/>
              </w:rPr>
              <w:t>995</w:t>
            </w:r>
          </w:p>
        </w:tc>
        <w:tc>
          <w:tcPr>
            <w:tcW w:w="2067" w:type="dxa"/>
          </w:tcPr>
          <w:p w:rsidR="0099546B" w:rsidRDefault="0099546B" w:rsidP="00B53006">
            <w:pPr>
              <w:pStyle w:val="ListParagraph"/>
              <w:ind w:left="0"/>
              <w:rPr>
                <w:rFonts w:ascii="Arial Narrow" w:hAnsi="Arial Narrow"/>
                <w:sz w:val="20"/>
                <w:szCs w:val="20"/>
              </w:rPr>
            </w:pPr>
            <w:r>
              <w:rPr>
                <w:rFonts w:ascii="Arial Narrow" w:hAnsi="Arial Narrow"/>
                <w:sz w:val="20"/>
                <w:szCs w:val="20"/>
              </w:rPr>
              <w:t xml:space="preserve">  </w:t>
            </w:r>
          </w:p>
        </w:tc>
        <w:tc>
          <w:tcPr>
            <w:tcW w:w="2169" w:type="dxa"/>
            <w:vAlign w:val="bottom"/>
          </w:tcPr>
          <w:p w:rsidR="0099546B" w:rsidRDefault="002A4AE9" w:rsidP="002A4AE9">
            <w:pPr>
              <w:pStyle w:val="ListParagraph"/>
              <w:ind w:left="0"/>
              <w:jc w:val="center"/>
              <w:rPr>
                <w:rFonts w:ascii="Arial Narrow" w:hAnsi="Arial Narrow"/>
                <w:sz w:val="20"/>
                <w:szCs w:val="20"/>
              </w:rPr>
            </w:pPr>
            <w:r>
              <w:rPr>
                <w:rFonts w:ascii="Arial Narrow" w:hAnsi="Arial Narrow"/>
                <w:sz w:val="20"/>
                <w:szCs w:val="20"/>
              </w:rPr>
              <w:t>4</w:t>
            </w:r>
            <w:r w:rsidR="0099546B">
              <w:rPr>
                <w:rFonts w:ascii="Arial Narrow" w:hAnsi="Arial Narrow"/>
                <w:sz w:val="20"/>
                <w:szCs w:val="20"/>
              </w:rPr>
              <w:t>,</w:t>
            </w:r>
            <w:r>
              <w:rPr>
                <w:rFonts w:ascii="Arial Narrow" w:hAnsi="Arial Narrow"/>
                <w:sz w:val="20"/>
                <w:szCs w:val="20"/>
              </w:rPr>
              <w:t>995</w:t>
            </w:r>
          </w:p>
        </w:tc>
      </w:tr>
      <w:tr w:rsidR="0099546B" w:rsidTr="002B7186">
        <w:tc>
          <w:tcPr>
            <w:tcW w:w="2170" w:type="dxa"/>
          </w:tcPr>
          <w:p w:rsidR="0099546B" w:rsidRDefault="0099546B" w:rsidP="00B53006">
            <w:pPr>
              <w:pStyle w:val="ListParagraph"/>
              <w:ind w:left="0"/>
              <w:rPr>
                <w:rFonts w:ascii="Arial Narrow" w:hAnsi="Arial Narrow"/>
                <w:sz w:val="20"/>
                <w:szCs w:val="20"/>
              </w:rPr>
            </w:pPr>
            <w:r>
              <w:rPr>
                <w:rFonts w:ascii="Arial Narrow" w:hAnsi="Arial Narrow"/>
                <w:sz w:val="20"/>
                <w:szCs w:val="20"/>
              </w:rPr>
              <w:t xml:space="preserve">Other comprehensive </w:t>
            </w:r>
            <w:r w:rsidR="002B7186">
              <w:rPr>
                <w:rFonts w:ascii="Arial Narrow" w:hAnsi="Arial Narrow"/>
                <w:sz w:val="20"/>
                <w:szCs w:val="20"/>
              </w:rPr>
              <w:t>loss</w:t>
            </w:r>
          </w:p>
        </w:tc>
        <w:tc>
          <w:tcPr>
            <w:tcW w:w="2090" w:type="dxa"/>
          </w:tcPr>
          <w:p w:rsidR="0099546B" w:rsidRDefault="0099546B" w:rsidP="00B53006">
            <w:pPr>
              <w:pStyle w:val="ListParagraph"/>
              <w:ind w:left="0"/>
              <w:rPr>
                <w:rFonts w:ascii="Arial Narrow" w:hAnsi="Arial Narrow"/>
                <w:sz w:val="20"/>
                <w:szCs w:val="20"/>
              </w:rPr>
            </w:pPr>
          </w:p>
        </w:tc>
        <w:tc>
          <w:tcPr>
            <w:tcW w:w="2067" w:type="dxa"/>
            <w:vAlign w:val="bottom"/>
          </w:tcPr>
          <w:p w:rsidR="0099546B" w:rsidRDefault="00E43A89" w:rsidP="002A4AE9">
            <w:pPr>
              <w:pStyle w:val="ListParagraph"/>
              <w:ind w:left="0"/>
              <w:jc w:val="center"/>
              <w:rPr>
                <w:rFonts w:ascii="Arial Narrow" w:hAnsi="Arial Narrow"/>
                <w:sz w:val="20"/>
                <w:szCs w:val="20"/>
              </w:rPr>
            </w:pPr>
            <w:r>
              <w:rPr>
                <w:rFonts w:ascii="Arial Narrow" w:hAnsi="Arial Narrow"/>
                <w:sz w:val="20"/>
                <w:szCs w:val="20"/>
              </w:rPr>
              <w:t>(1</w:t>
            </w:r>
            <w:r w:rsidR="009C216A">
              <w:rPr>
                <w:rFonts w:ascii="Arial Narrow" w:hAnsi="Arial Narrow"/>
                <w:sz w:val="20"/>
                <w:szCs w:val="20"/>
              </w:rPr>
              <w:t>,90</w:t>
            </w:r>
            <w:r w:rsidR="002A4AE9">
              <w:rPr>
                <w:rFonts w:ascii="Arial Narrow" w:hAnsi="Arial Narrow"/>
                <w:sz w:val="20"/>
                <w:szCs w:val="20"/>
              </w:rPr>
              <w:t>0</w:t>
            </w:r>
            <w:r>
              <w:rPr>
                <w:rFonts w:ascii="Arial Narrow" w:hAnsi="Arial Narrow"/>
                <w:sz w:val="20"/>
                <w:szCs w:val="20"/>
              </w:rPr>
              <w:t>)</w:t>
            </w:r>
          </w:p>
        </w:tc>
        <w:tc>
          <w:tcPr>
            <w:tcW w:w="2169" w:type="dxa"/>
            <w:vAlign w:val="bottom"/>
          </w:tcPr>
          <w:p w:rsidR="0099546B" w:rsidRDefault="00E43A89" w:rsidP="002A4AE9">
            <w:pPr>
              <w:pStyle w:val="ListParagraph"/>
              <w:ind w:left="0"/>
              <w:jc w:val="center"/>
              <w:rPr>
                <w:rFonts w:ascii="Arial Narrow" w:hAnsi="Arial Narrow"/>
                <w:sz w:val="20"/>
                <w:szCs w:val="20"/>
              </w:rPr>
            </w:pPr>
            <w:r>
              <w:rPr>
                <w:rFonts w:ascii="Arial Narrow" w:hAnsi="Arial Narrow"/>
                <w:sz w:val="20"/>
                <w:szCs w:val="20"/>
              </w:rPr>
              <w:t>(1,</w:t>
            </w:r>
            <w:r w:rsidR="009C216A">
              <w:rPr>
                <w:rFonts w:ascii="Arial Narrow" w:hAnsi="Arial Narrow"/>
                <w:sz w:val="20"/>
                <w:szCs w:val="20"/>
              </w:rPr>
              <w:t>90</w:t>
            </w:r>
            <w:r w:rsidR="002A4AE9">
              <w:rPr>
                <w:rFonts w:ascii="Arial Narrow" w:hAnsi="Arial Narrow"/>
                <w:sz w:val="20"/>
                <w:szCs w:val="20"/>
              </w:rPr>
              <w:t>0</w:t>
            </w:r>
            <w:r>
              <w:rPr>
                <w:rFonts w:ascii="Arial Narrow" w:hAnsi="Arial Narrow"/>
                <w:sz w:val="20"/>
                <w:szCs w:val="20"/>
              </w:rPr>
              <w:t>)</w:t>
            </w:r>
          </w:p>
        </w:tc>
      </w:tr>
      <w:tr w:rsidR="0099546B" w:rsidTr="002B7186">
        <w:tc>
          <w:tcPr>
            <w:tcW w:w="2170" w:type="dxa"/>
          </w:tcPr>
          <w:p w:rsidR="0099546B" w:rsidRDefault="0099546B" w:rsidP="009A1F35">
            <w:pPr>
              <w:pStyle w:val="ListParagraph"/>
              <w:ind w:left="0"/>
              <w:rPr>
                <w:rFonts w:ascii="Arial Narrow" w:hAnsi="Arial Narrow"/>
                <w:sz w:val="20"/>
                <w:szCs w:val="20"/>
              </w:rPr>
            </w:pPr>
            <w:r>
              <w:rPr>
                <w:rFonts w:ascii="Arial Narrow" w:hAnsi="Arial Narrow"/>
                <w:sz w:val="20"/>
                <w:szCs w:val="20"/>
              </w:rPr>
              <w:t xml:space="preserve">Total comprehensive </w:t>
            </w:r>
            <w:r w:rsidR="009A1F35">
              <w:rPr>
                <w:rFonts w:ascii="Arial Narrow" w:hAnsi="Arial Narrow"/>
                <w:sz w:val="20"/>
                <w:szCs w:val="20"/>
              </w:rPr>
              <w:t>profit</w:t>
            </w:r>
          </w:p>
        </w:tc>
        <w:tc>
          <w:tcPr>
            <w:tcW w:w="2090" w:type="dxa"/>
          </w:tcPr>
          <w:p w:rsidR="0099546B" w:rsidRDefault="0099546B" w:rsidP="00B53006">
            <w:pPr>
              <w:pStyle w:val="ListParagraph"/>
              <w:ind w:left="0"/>
              <w:rPr>
                <w:rFonts w:ascii="Arial Narrow" w:hAnsi="Arial Narrow"/>
                <w:sz w:val="20"/>
                <w:szCs w:val="20"/>
              </w:rPr>
            </w:pPr>
          </w:p>
        </w:tc>
        <w:tc>
          <w:tcPr>
            <w:tcW w:w="2067" w:type="dxa"/>
          </w:tcPr>
          <w:p w:rsidR="0099546B" w:rsidRDefault="0099546B" w:rsidP="00B53006">
            <w:pPr>
              <w:pStyle w:val="ListParagraph"/>
              <w:ind w:left="0"/>
              <w:rPr>
                <w:rFonts w:ascii="Arial Narrow" w:hAnsi="Arial Narrow"/>
                <w:sz w:val="20"/>
                <w:szCs w:val="20"/>
              </w:rPr>
            </w:pPr>
          </w:p>
        </w:tc>
        <w:tc>
          <w:tcPr>
            <w:tcW w:w="2169" w:type="dxa"/>
            <w:vAlign w:val="bottom"/>
          </w:tcPr>
          <w:p w:rsidR="0099546B" w:rsidRDefault="009C216A" w:rsidP="002A4AE9">
            <w:pPr>
              <w:pStyle w:val="ListParagraph"/>
              <w:ind w:left="0"/>
              <w:jc w:val="center"/>
              <w:rPr>
                <w:rFonts w:ascii="Arial Narrow" w:hAnsi="Arial Narrow"/>
                <w:sz w:val="20"/>
                <w:szCs w:val="20"/>
              </w:rPr>
            </w:pPr>
            <w:r>
              <w:rPr>
                <w:rFonts w:ascii="Arial Narrow" w:hAnsi="Arial Narrow"/>
                <w:sz w:val="20"/>
                <w:szCs w:val="20"/>
              </w:rPr>
              <w:t>3,</w:t>
            </w:r>
            <w:r w:rsidR="002A4AE9">
              <w:rPr>
                <w:rFonts w:ascii="Arial Narrow" w:hAnsi="Arial Narrow"/>
                <w:sz w:val="20"/>
                <w:szCs w:val="20"/>
              </w:rPr>
              <w:t>095</w:t>
            </w:r>
          </w:p>
        </w:tc>
      </w:tr>
    </w:tbl>
    <w:p w:rsidR="00B53006" w:rsidRPr="00B53006" w:rsidRDefault="00B53006" w:rsidP="00B53006">
      <w:pPr>
        <w:pStyle w:val="ListParagraph"/>
        <w:ind w:left="1080"/>
        <w:rPr>
          <w:rFonts w:ascii="Arial Narrow" w:hAnsi="Arial Narrow"/>
          <w:sz w:val="20"/>
          <w:szCs w:val="20"/>
        </w:rPr>
      </w:pPr>
    </w:p>
    <w:p w:rsidR="00F45F62" w:rsidRPr="00F45F62" w:rsidRDefault="0099546B" w:rsidP="0099546B">
      <w:pPr>
        <w:pStyle w:val="ListParagraph"/>
        <w:numPr>
          <w:ilvl w:val="0"/>
          <w:numId w:val="9"/>
        </w:numPr>
        <w:spacing w:after="0"/>
        <w:jc w:val="both"/>
        <w:rPr>
          <w:rFonts w:ascii="Arial Narrow" w:hAnsi="Arial Narrow"/>
          <w:sz w:val="20"/>
          <w:szCs w:val="20"/>
        </w:rPr>
      </w:pPr>
      <w:r>
        <w:rPr>
          <w:rFonts w:ascii="Arial Narrow" w:hAnsi="Arial Narrow"/>
          <w:sz w:val="20"/>
          <w:szCs w:val="20"/>
        </w:rPr>
        <w:t xml:space="preserve">The total comprehensive </w:t>
      </w:r>
      <w:r w:rsidR="00ED552F">
        <w:rPr>
          <w:rFonts w:ascii="Arial Narrow" w:hAnsi="Arial Narrow"/>
          <w:sz w:val="20"/>
          <w:szCs w:val="20"/>
        </w:rPr>
        <w:t>profit</w:t>
      </w:r>
      <w:r w:rsidR="002B7186">
        <w:rPr>
          <w:rFonts w:ascii="Arial Narrow" w:hAnsi="Arial Narrow"/>
          <w:sz w:val="20"/>
          <w:szCs w:val="20"/>
        </w:rPr>
        <w:t xml:space="preserve"> </w:t>
      </w:r>
      <w:r>
        <w:rPr>
          <w:rFonts w:ascii="Arial Narrow" w:hAnsi="Arial Narrow"/>
          <w:sz w:val="20"/>
          <w:szCs w:val="20"/>
        </w:rPr>
        <w:t>for the period is presented as a one-line item in the statement of changes in equity.</w:t>
      </w:r>
      <w:r>
        <w:rPr>
          <w:rFonts w:ascii="Arial Narrow" w:hAnsi="Arial Narrow"/>
          <w:sz w:val="20"/>
          <w:szCs w:val="20"/>
        </w:rPr>
        <w:tab/>
      </w:r>
    </w:p>
    <w:p w:rsidR="00F45F62" w:rsidRDefault="00F45F62" w:rsidP="00CB132F">
      <w:pPr>
        <w:pStyle w:val="ListParagraph"/>
        <w:spacing w:after="0"/>
        <w:jc w:val="both"/>
        <w:rPr>
          <w:rFonts w:ascii="Arial Narrow" w:hAnsi="Arial Narrow"/>
          <w:b/>
          <w:sz w:val="20"/>
          <w:szCs w:val="20"/>
        </w:rPr>
      </w:pPr>
    </w:p>
    <w:p w:rsidR="002B7186" w:rsidRDefault="002B7186" w:rsidP="002B7186">
      <w:pPr>
        <w:pStyle w:val="ListParagraph"/>
        <w:numPr>
          <w:ilvl w:val="0"/>
          <w:numId w:val="8"/>
        </w:numPr>
        <w:spacing w:after="0"/>
        <w:jc w:val="both"/>
        <w:rPr>
          <w:rFonts w:ascii="Arial Narrow" w:hAnsi="Arial Narrow"/>
          <w:sz w:val="20"/>
          <w:szCs w:val="20"/>
        </w:rPr>
      </w:pPr>
      <w:r>
        <w:rPr>
          <w:rFonts w:ascii="Arial Narrow" w:hAnsi="Arial Narrow"/>
          <w:sz w:val="20"/>
          <w:szCs w:val="20"/>
        </w:rPr>
        <w:t>Amendments for FRSs ‘Improvements to FRSs (2009) – FRS 117: Lease</w:t>
      </w:r>
    </w:p>
    <w:p w:rsidR="002B7186" w:rsidRDefault="002B7186" w:rsidP="002B7186">
      <w:pPr>
        <w:pStyle w:val="ListParagraph"/>
        <w:spacing w:after="0"/>
        <w:ind w:left="1080"/>
        <w:jc w:val="both"/>
        <w:rPr>
          <w:rFonts w:ascii="Arial Narrow" w:hAnsi="Arial Narrow"/>
          <w:sz w:val="20"/>
          <w:szCs w:val="20"/>
        </w:rPr>
      </w:pPr>
    </w:p>
    <w:p w:rsidR="002B7186" w:rsidRDefault="002B7186" w:rsidP="002B7186">
      <w:pPr>
        <w:spacing w:after="0"/>
        <w:ind w:left="1080"/>
        <w:jc w:val="both"/>
        <w:rPr>
          <w:rFonts w:ascii="Arial Narrow" w:hAnsi="Arial Narrow"/>
          <w:sz w:val="20"/>
          <w:szCs w:val="20"/>
        </w:rPr>
      </w:pPr>
      <w:r>
        <w:rPr>
          <w:rFonts w:ascii="Arial Narrow" w:hAnsi="Arial Narrow"/>
          <w:sz w:val="20"/>
          <w:szCs w:val="20"/>
        </w:rPr>
        <w:t>FRS 117 clarifies on the classification of leases of land and buildings. The resulting effect of this Standard taking effect was the reclassification of prepaid leases on land back into property, plant and equipment, rather than being separately classified under prepaid lease payments on the consolidated statement of financial position.</w:t>
      </w:r>
    </w:p>
    <w:p w:rsidR="002B7186" w:rsidRDefault="002B7186" w:rsidP="002B7186">
      <w:pPr>
        <w:spacing w:after="0"/>
        <w:ind w:left="1080"/>
        <w:jc w:val="both"/>
        <w:rPr>
          <w:rFonts w:ascii="Arial Narrow" w:hAnsi="Arial Narrow"/>
          <w:sz w:val="20"/>
          <w:szCs w:val="20"/>
        </w:rPr>
      </w:pPr>
    </w:p>
    <w:tbl>
      <w:tblPr>
        <w:tblStyle w:val="TableGrid"/>
        <w:tblW w:w="0" w:type="auto"/>
        <w:tblInd w:w="1080" w:type="dxa"/>
        <w:tblLook w:val="04A0"/>
      </w:tblPr>
      <w:tblGrid>
        <w:gridCol w:w="2132"/>
        <w:gridCol w:w="2127"/>
        <w:gridCol w:w="2137"/>
        <w:gridCol w:w="2100"/>
      </w:tblGrid>
      <w:tr w:rsidR="002B7186" w:rsidTr="004E7093">
        <w:tc>
          <w:tcPr>
            <w:tcW w:w="2394" w:type="dxa"/>
          </w:tcPr>
          <w:p w:rsidR="002B7186" w:rsidRDefault="002B7186" w:rsidP="004E7093">
            <w:pPr>
              <w:jc w:val="both"/>
              <w:rPr>
                <w:rFonts w:ascii="Arial Narrow" w:hAnsi="Arial Narrow"/>
                <w:sz w:val="20"/>
                <w:szCs w:val="20"/>
              </w:rPr>
            </w:pPr>
            <w:r>
              <w:rPr>
                <w:rFonts w:ascii="Arial Narrow" w:hAnsi="Arial Narrow"/>
                <w:sz w:val="20"/>
                <w:szCs w:val="20"/>
              </w:rPr>
              <w:t>31 December 2009</w:t>
            </w:r>
          </w:p>
          <w:p w:rsidR="002B7186" w:rsidRDefault="002B7186" w:rsidP="004E7093">
            <w:pPr>
              <w:jc w:val="both"/>
              <w:rPr>
                <w:rFonts w:ascii="Arial Narrow" w:hAnsi="Arial Narrow"/>
                <w:sz w:val="20"/>
                <w:szCs w:val="20"/>
              </w:rPr>
            </w:pPr>
          </w:p>
        </w:tc>
        <w:tc>
          <w:tcPr>
            <w:tcW w:w="2394" w:type="dxa"/>
          </w:tcPr>
          <w:p w:rsidR="002B7186" w:rsidRDefault="002B7186" w:rsidP="004E7093">
            <w:pPr>
              <w:jc w:val="both"/>
              <w:rPr>
                <w:rFonts w:ascii="Arial Narrow" w:hAnsi="Arial Narrow"/>
                <w:sz w:val="20"/>
                <w:szCs w:val="20"/>
              </w:rPr>
            </w:pPr>
            <w:r>
              <w:rPr>
                <w:rFonts w:ascii="Arial Narrow" w:hAnsi="Arial Narrow"/>
                <w:sz w:val="20"/>
                <w:szCs w:val="20"/>
              </w:rPr>
              <w:t xml:space="preserve">As previously reported </w:t>
            </w:r>
          </w:p>
        </w:tc>
        <w:tc>
          <w:tcPr>
            <w:tcW w:w="2394" w:type="dxa"/>
          </w:tcPr>
          <w:p w:rsidR="002B7186" w:rsidRDefault="002B7186" w:rsidP="004E7093">
            <w:pPr>
              <w:jc w:val="both"/>
              <w:rPr>
                <w:rFonts w:ascii="Arial Narrow" w:hAnsi="Arial Narrow"/>
                <w:sz w:val="20"/>
                <w:szCs w:val="20"/>
              </w:rPr>
            </w:pPr>
            <w:r>
              <w:rPr>
                <w:rFonts w:ascii="Arial Narrow" w:hAnsi="Arial Narrow"/>
                <w:sz w:val="20"/>
                <w:szCs w:val="20"/>
              </w:rPr>
              <w:t xml:space="preserve">Effect of changes in accounting policy </w:t>
            </w:r>
          </w:p>
        </w:tc>
        <w:tc>
          <w:tcPr>
            <w:tcW w:w="2394" w:type="dxa"/>
            <w:vAlign w:val="bottom"/>
          </w:tcPr>
          <w:p w:rsidR="002B7186" w:rsidRDefault="002B7186" w:rsidP="004E7093">
            <w:pPr>
              <w:jc w:val="center"/>
              <w:rPr>
                <w:rFonts w:ascii="Arial Narrow" w:hAnsi="Arial Narrow"/>
                <w:sz w:val="20"/>
                <w:szCs w:val="20"/>
              </w:rPr>
            </w:pPr>
            <w:r>
              <w:rPr>
                <w:rFonts w:ascii="Arial Narrow" w:hAnsi="Arial Narrow"/>
                <w:sz w:val="20"/>
                <w:szCs w:val="20"/>
              </w:rPr>
              <w:t>As restated</w:t>
            </w:r>
          </w:p>
        </w:tc>
      </w:tr>
      <w:tr w:rsidR="002B7186" w:rsidTr="004E7093">
        <w:tc>
          <w:tcPr>
            <w:tcW w:w="2394" w:type="dxa"/>
          </w:tcPr>
          <w:p w:rsidR="002B7186" w:rsidRDefault="002B7186" w:rsidP="004E7093">
            <w:pPr>
              <w:jc w:val="both"/>
              <w:rPr>
                <w:rFonts w:ascii="Arial Narrow" w:hAnsi="Arial Narrow"/>
                <w:sz w:val="20"/>
                <w:szCs w:val="20"/>
              </w:rPr>
            </w:pPr>
            <w:r>
              <w:rPr>
                <w:rFonts w:ascii="Arial Narrow" w:hAnsi="Arial Narrow"/>
                <w:sz w:val="20"/>
                <w:szCs w:val="20"/>
              </w:rPr>
              <w:t>Property, plant and equipment</w:t>
            </w:r>
          </w:p>
        </w:tc>
        <w:tc>
          <w:tcPr>
            <w:tcW w:w="2394" w:type="dxa"/>
            <w:vAlign w:val="bottom"/>
          </w:tcPr>
          <w:p w:rsidR="002B7186" w:rsidRDefault="002B7186" w:rsidP="004E7093">
            <w:pPr>
              <w:jc w:val="center"/>
              <w:rPr>
                <w:rFonts w:ascii="Arial Narrow" w:hAnsi="Arial Narrow"/>
                <w:sz w:val="20"/>
                <w:szCs w:val="20"/>
              </w:rPr>
            </w:pPr>
            <w:r>
              <w:rPr>
                <w:rFonts w:ascii="Arial Narrow" w:hAnsi="Arial Narrow"/>
                <w:sz w:val="20"/>
                <w:szCs w:val="20"/>
              </w:rPr>
              <w:t>3,244</w:t>
            </w:r>
          </w:p>
        </w:tc>
        <w:tc>
          <w:tcPr>
            <w:tcW w:w="2394" w:type="dxa"/>
            <w:vAlign w:val="bottom"/>
          </w:tcPr>
          <w:p w:rsidR="002B7186" w:rsidRDefault="002B7186" w:rsidP="004E7093">
            <w:pPr>
              <w:jc w:val="center"/>
              <w:rPr>
                <w:rFonts w:ascii="Arial Narrow" w:hAnsi="Arial Narrow"/>
                <w:sz w:val="20"/>
                <w:szCs w:val="20"/>
              </w:rPr>
            </w:pPr>
            <w:r>
              <w:rPr>
                <w:rFonts w:ascii="Arial Narrow" w:hAnsi="Arial Narrow"/>
                <w:sz w:val="20"/>
                <w:szCs w:val="20"/>
              </w:rPr>
              <w:t>2,924</w:t>
            </w:r>
          </w:p>
        </w:tc>
        <w:tc>
          <w:tcPr>
            <w:tcW w:w="2394" w:type="dxa"/>
            <w:vAlign w:val="bottom"/>
          </w:tcPr>
          <w:p w:rsidR="002B7186" w:rsidRDefault="002B7186" w:rsidP="004E7093">
            <w:pPr>
              <w:jc w:val="center"/>
              <w:rPr>
                <w:rFonts w:ascii="Arial Narrow" w:hAnsi="Arial Narrow"/>
                <w:sz w:val="20"/>
                <w:szCs w:val="20"/>
              </w:rPr>
            </w:pPr>
            <w:r>
              <w:rPr>
                <w:rFonts w:ascii="Arial Narrow" w:hAnsi="Arial Narrow"/>
                <w:sz w:val="20"/>
                <w:szCs w:val="20"/>
              </w:rPr>
              <w:t>6,168</w:t>
            </w:r>
          </w:p>
        </w:tc>
      </w:tr>
      <w:tr w:rsidR="002B7186" w:rsidTr="004E7093">
        <w:tc>
          <w:tcPr>
            <w:tcW w:w="2394" w:type="dxa"/>
          </w:tcPr>
          <w:p w:rsidR="002B7186" w:rsidRDefault="002B7186" w:rsidP="004E7093">
            <w:pPr>
              <w:jc w:val="both"/>
              <w:rPr>
                <w:rFonts w:ascii="Arial Narrow" w:hAnsi="Arial Narrow"/>
                <w:sz w:val="20"/>
                <w:szCs w:val="20"/>
              </w:rPr>
            </w:pPr>
            <w:r>
              <w:rPr>
                <w:rFonts w:ascii="Arial Narrow" w:hAnsi="Arial Narrow"/>
                <w:sz w:val="20"/>
                <w:szCs w:val="20"/>
              </w:rPr>
              <w:t>Prepaid land lease payments</w:t>
            </w:r>
          </w:p>
        </w:tc>
        <w:tc>
          <w:tcPr>
            <w:tcW w:w="2394" w:type="dxa"/>
            <w:vAlign w:val="bottom"/>
          </w:tcPr>
          <w:p w:rsidR="002B7186" w:rsidRDefault="002B7186" w:rsidP="004E7093">
            <w:pPr>
              <w:jc w:val="center"/>
              <w:rPr>
                <w:rFonts w:ascii="Arial Narrow" w:hAnsi="Arial Narrow"/>
                <w:sz w:val="20"/>
                <w:szCs w:val="20"/>
              </w:rPr>
            </w:pPr>
            <w:r>
              <w:rPr>
                <w:rFonts w:ascii="Arial Narrow" w:hAnsi="Arial Narrow"/>
                <w:sz w:val="20"/>
                <w:szCs w:val="20"/>
              </w:rPr>
              <w:t>2,924</w:t>
            </w:r>
          </w:p>
        </w:tc>
        <w:tc>
          <w:tcPr>
            <w:tcW w:w="2394" w:type="dxa"/>
            <w:vAlign w:val="bottom"/>
          </w:tcPr>
          <w:p w:rsidR="002B7186" w:rsidRDefault="002B7186" w:rsidP="004E7093">
            <w:pPr>
              <w:jc w:val="center"/>
              <w:rPr>
                <w:rFonts w:ascii="Arial Narrow" w:hAnsi="Arial Narrow"/>
                <w:sz w:val="20"/>
                <w:szCs w:val="20"/>
              </w:rPr>
            </w:pPr>
            <w:r>
              <w:rPr>
                <w:rFonts w:ascii="Arial Narrow" w:hAnsi="Arial Narrow"/>
                <w:sz w:val="20"/>
                <w:szCs w:val="20"/>
              </w:rPr>
              <w:t>(2,924)</w:t>
            </w:r>
          </w:p>
        </w:tc>
        <w:tc>
          <w:tcPr>
            <w:tcW w:w="2394" w:type="dxa"/>
            <w:vAlign w:val="bottom"/>
          </w:tcPr>
          <w:p w:rsidR="002B7186" w:rsidRDefault="002B7186" w:rsidP="004E7093">
            <w:pPr>
              <w:jc w:val="center"/>
              <w:rPr>
                <w:rFonts w:ascii="Arial Narrow" w:hAnsi="Arial Narrow"/>
                <w:sz w:val="20"/>
                <w:szCs w:val="20"/>
              </w:rPr>
            </w:pPr>
            <w:r>
              <w:rPr>
                <w:rFonts w:ascii="Arial Narrow" w:hAnsi="Arial Narrow"/>
                <w:sz w:val="20"/>
                <w:szCs w:val="20"/>
              </w:rPr>
              <w:t>-</w:t>
            </w:r>
          </w:p>
        </w:tc>
      </w:tr>
    </w:tbl>
    <w:p w:rsidR="002B7186" w:rsidRDefault="002B7186" w:rsidP="002B7186">
      <w:pPr>
        <w:spacing w:after="0"/>
        <w:ind w:left="1080"/>
        <w:jc w:val="both"/>
        <w:rPr>
          <w:rFonts w:ascii="Arial Narrow" w:hAnsi="Arial Narrow"/>
          <w:sz w:val="20"/>
          <w:szCs w:val="20"/>
        </w:rPr>
      </w:pPr>
    </w:p>
    <w:p w:rsidR="00F45F62" w:rsidRDefault="00F45F62" w:rsidP="00CB132F">
      <w:pPr>
        <w:pStyle w:val="ListParagraph"/>
        <w:spacing w:after="0"/>
        <w:jc w:val="both"/>
        <w:rPr>
          <w:rFonts w:ascii="Arial Narrow" w:hAnsi="Arial Narrow"/>
          <w:b/>
          <w:sz w:val="20"/>
          <w:szCs w:val="20"/>
        </w:rPr>
      </w:pPr>
    </w:p>
    <w:p w:rsidR="000A152A" w:rsidRPr="00AF6798" w:rsidRDefault="000A152A" w:rsidP="000A152A">
      <w:pPr>
        <w:spacing w:after="0"/>
        <w:rPr>
          <w:rFonts w:ascii="Arial Narrow" w:hAnsi="Arial Narrow" w:cs="Arial"/>
          <w:b/>
          <w:sz w:val="20"/>
          <w:szCs w:val="20"/>
        </w:rPr>
      </w:pPr>
      <w:r>
        <w:rPr>
          <w:rFonts w:ascii="Arial Narrow" w:hAnsi="Arial Narrow" w:cs="Arial"/>
          <w:b/>
          <w:sz w:val="20"/>
          <w:szCs w:val="20"/>
        </w:rPr>
        <w:t>T</w:t>
      </w:r>
      <w:r w:rsidRPr="00AF6798">
        <w:rPr>
          <w:rFonts w:ascii="Arial Narrow" w:hAnsi="Arial Narrow" w:cs="Arial"/>
          <w:b/>
          <w:sz w:val="20"/>
          <w:szCs w:val="20"/>
        </w:rPr>
        <w:t>URBO-MECH BERHAD (863263-D)</w:t>
      </w:r>
    </w:p>
    <w:p w:rsidR="000A152A" w:rsidRPr="00AF6798" w:rsidRDefault="000A152A" w:rsidP="000A152A">
      <w:pPr>
        <w:spacing w:after="0"/>
        <w:rPr>
          <w:rFonts w:ascii="Arial Narrow" w:hAnsi="Arial Narrow" w:cs="Arial"/>
          <w:b/>
          <w:sz w:val="20"/>
          <w:szCs w:val="20"/>
        </w:rPr>
      </w:pPr>
      <w:r w:rsidRPr="00AF6798">
        <w:rPr>
          <w:rFonts w:ascii="Arial Narrow" w:hAnsi="Arial Narrow" w:cs="Arial"/>
          <w:b/>
          <w:sz w:val="20"/>
          <w:szCs w:val="20"/>
        </w:rPr>
        <w:t>INTERIM FINANCIAL REPORT FOR THE</w:t>
      </w:r>
      <w:r w:rsidR="00723268">
        <w:rPr>
          <w:rFonts w:ascii="Arial Narrow" w:hAnsi="Arial Narrow" w:cs="Arial"/>
          <w:b/>
          <w:sz w:val="20"/>
          <w:szCs w:val="20"/>
        </w:rPr>
        <w:t xml:space="preserve"> SECOND</w:t>
      </w:r>
      <w:r w:rsidRPr="00AF6798">
        <w:rPr>
          <w:rFonts w:ascii="Arial Narrow" w:hAnsi="Arial Narrow" w:cs="Arial"/>
          <w:b/>
          <w:sz w:val="20"/>
          <w:szCs w:val="20"/>
        </w:rPr>
        <w:t xml:space="preserve"> QUARTER ENDED 3</w:t>
      </w:r>
      <w:r w:rsidR="009C216A">
        <w:rPr>
          <w:rFonts w:ascii="Arial Narrow" w:hAnsi="Arial Narrow" w:cs="Arial"/>
          <w:b/>
          <w:sz w:val="20"/>
          <w:szCs w:val="20"/>
        </w:rPr>
        <w:t>0</w:t>
      </w:r>
      <w:r w:rsidRPr="00AF6798">
        <w:rPr>
          <w:rFonts w:ascii="Arial Narrow" w:hAnsi="Arial Narrow" w:cs="Arial"/>
          <w:b/>
          <w:sz w:val="20"/>
          <w:szCs w:val="20"/>
        </w:rPr>
        <w:t xml:space="preserve"> </w:t>
      </w:r>
      <w:r w:rsidR="009C216A">
        <w:rPr>
          <w:rFonts w:ascii="Arial Narrow" w:hAnsi="Arial Narrow" w:cs="Arial"/>
          <w:b/>
          <w:sz w:val="20"/>
          <w:szCs w:val="20"/>
        </w:rPr>
        <w:t>JUNE</w:t>
      </w:r>
      <w:r w:rsidRPr="00AF6798">
        <w:rPr>
          <w:rFonts w:ascii="Arial Narrow" w:hAnsi="Arial Narrow" w:cs="Arial"/>
          <w:b/>
          <w:sz w:val="20"/>
          <w:szCs w:val="20"/>
        </w:rPr>
        <w:t xml:space="preserve"> 2010</w:t>
      </w:r>
    </w:p>
    <w:p w:rsidR="000A152A" w:rsidRPr="00AF6798" w:rsidRDefault="000A152A" w:rsidP="000A152A">
      <w:pPr>
        <w:spacing w:after="0"/>
        <w:rPr>
          <w:rFonts w:ascii="Arial Narrow" w:hAnsi="Arial Narrow"/>
          <w:b/>
          <w:sz w:val="20"/>
          <w:szCs w:val="20"/>
        </w:rPr>
      </w:pPr>
    </w:p>
    <w:p w:rsidR="000A152A" w:rsidRPr="00016687" w:rsidRDefault="000A152A" w:rsidP="000A152A">
      <w:pPr>
        <w:spacing w:after="0"/>
        <w:rPr>
          <w:rFonts w:ascii="Arial Narrow" w:hAnsi="Arial Narrow"/>
          <w:sz w:val="20"/>
          <w:szCs w:val="20"/>
        </w:rPr>
      </w:pPr>
      <w:r>
        <w:rPr>
          <w:rFonts w:ascii="Arial Narrow" w:hAnsi="Arial Narrow"/>
          <w:b/>
          <w:sz w:val="20"/>
          <w:szCs w:val="20"/>
        </w:rPr>
        <w:t>EXPLANATORY NOTES IN COMPLIANCE WITH FINANCIAL REPORTING STANDARDS (“FRS”) 134</w:t>
      </w:r>
      <w:r w:rsidRPr="00AF6798">
        <w:rPr>
          <w:rFonts w:ascii="Arial Narrow" w:hAnsi="Arial Narrow"/>
          <w:b/>
          <w:sz w:val="20"/>
          <w:szCs w:val="20"/>
        </w:rPr>
        <w:t xml:space="preserve"> INTERIM FINANCIAL REPORT</w:t>
      </w:r>
      <w:r>
        <w:rPr>
          <w:rFonts w:ascii="Arial Narrow" w:hAnsi="Arial Narrow"/>
          <w:b/>
          <w:sz w:val="20"/>
          <w:szCs w:val="20"/>
        </w:rPr>
        <w:t xml:space="preserve"> (CONT’D)</w:t>
      </w:r>
    </w:p>
    <w:p w:rsidR="000A152A" w:rsidRDefault="000A152A" w:rsidP="00CB132F">
      <w:pPr>
        <w:pStyle w:val="ListParagraph"/>
        <w:spacing w:after="0"/>
        <w:jc w:val="both"/>
        <w:rPr>
          <w:rFonts w:ascii="Arial Narrow" w:hAnsi="Arial Narrow"/>
          <w:b/>
          <w:sz w:val="20"/>
          <w:szCs w:val="20"/>
        </w:rPr>
      </w:pPr>
    </w:p>
    <w:p w:rsidR="001C1E2C" w:rsidRDefault="001C1E2C" w:rsidP="00CB132F">
      <w:pPr>
        <w:pStyle w:val="ListParagraph"/>
        <w:spacing w:after="0"/>
        <w:jc w:val="both"/>
        <w:rPr>
          <w:rFonts w:ascii="Arial Narrow" w:hAnsi="Arial Narrow"/>
          <w:b/>
          <w:sz w:val="20"/>
          <w:szCs w:val="20"/>
        </w:rPr>
      </w:pPr>
    </w:p>
    <w:p w:rsidR="00E20C5F" w:rsidRPr="00AF6798" w:rsidRDefault="00E20C5F" w:rsidP="00E20C5F">
      <w:pPr>
        <w:pStyle w:val="ListParagraph"/>
        <w:spacing w:after="0"/>
        <w:jc w:val="both"/>
        <w:rPr>
          <w:rFonts w:ascii="Arial Narrow" w:hAnsi="Arial Narrow"/>
          <w:b/>
          <w:sz w:val="20"/>
          <w:szCs w:val="20"/>
        </w:rPr>
      </w:pPr>
      <w:r w:rsidRPr="00AF6798">
        <w:rPr>
          <w:rFonts w:ascii="Arial Narrow" w:hAnsi="Arial Narrow"/>
          <w:b/>
          <w:sz w:val="20"/>
          <w:szCs w:val="20"/>
        </w:rPr>
        <w:t>Changes in Accounting Policies (cont</w:t>
      </w:r>
      <w:r w:rsidR="002B7186">
        <w:rPr>
          <w:rFonts w:ascii="Arial Narrow" w:hAnsi="Arial Narrow"/>
          <w:b/>
          <w:sz w:val="20"/>
          <w:szCs w:val="20"/>
        </w:rPr>
        <w:t>’</w:t>
      </w:r>
      <w:r w:rsidRPr="00AF6798">
        <w:rPr>
          <w:rFonts w:ascii="Arial Narrow" w:hAnsi="Arial Narrow"/>
          <w:b/>
          <w:sz w:val="20"/>
          <w:szCs w:val="20"/>
        </w:rPr>
        <w:t>d)</w:t>
      </w:r>
    </w:p>
    <w:p w:rsidR="00E20C5F" w:rsidRDefault="00E20C5F" w:rsidP="00CB132F">
      <w:pPr>
        <w:pStyle w:val="ListParagraph"/>
        <w:spacing w:after="0"/>
        <w:jc w:val="both"/>
        <w:rPr>
          <w:rFonts w:ascii="Arial Narrow" w:hAnsi="Arial Narrow"/>
          <w:sz w:val="20"/>
          <w:szCs w:val="20"/>
        </w:rPr>
      </w:pPr>
    </w:p>
    <w:p w:rsidR="000A152A" w:rsidRDefault="000A152A" w:rsidP="000A152A">
      <w:pPr>
        <w:pStyle w:val="ListParagraph"/>
        <w:numPr>
          <w:ilvl w:val="0"/>
          <w:numId w:val="8"/>
        </w:numPr>
        <w:spacing w:after="0"/>
        <w:jc w:val="both"/>
        <w:rPr>
          <w:rFonts w:ascii="Arial Narrow" w:hAnsi="Arial Narrow"/>
          <w:sz w:val="20"/>
          <w:szCs w:val="20"/>
        </w:rPr>
      </w:pPr>
      <w:r>
        <w:rPr>
          <w:rFonts w:ascii="Arial Narrow" w:hAnsi="Arial Narrow"/>
          <w:sz w:val="20"/>
          <w:szCs w:val="20"/>
        </w:rPr>
        <w:t>FRS 139: Financial Instruments: Recognition and Measurement, and Amendments to FRS 139: Financial Instruments: Recognition and Measurement</w:t>
      </w:r>
    </w:p>
    <w:p w:rsidR="002B7186" w:rsidRDefault="002B7186" w:rsidP="002B7186">
      <w:pPr>
        <w:pStyle w:val="ListParagraph"/>
        <w:spacing w:after="0"/>
        <w:ind w:left="1080"/>
        <w:jc w:val="both"/>
        <w:rPr>
          <w:rFonts w:ascii="Arial Narrow" w:hAnsi="Arial Narrow"/>
          <w:sz w:val="20"/>
          <w:szCs w:val="20"/>
        </w:rPr>
      </w:pPr>
    </w:p>
    <w:p w:rsidR="000A152A" w:rsidRDefault="007A36B9" w:rsidP="007A36B9">
      <w:pPr>
        <w:pStyle w:val="ListParagraph"/>
        <w:spacing w:after="0"/>
        <w:ind w:left="1080"/>
        <w:jc w:val="both"/>
        <w:rPr>
          <w:rFonts w:ascii="Arial Narrow" w:hAnsi="Arial Narrow"/>
          <w:sz w:val="20"/>
          <w:szCs w:val="20"/>
        </w:rPr>
      </w:pPr>
      <w:r>
        <w:rPr>
          <w:rFonts w:ascii="Arial Narrow" w:hAnsi="Arial Narrow"/>
          <w:sz w:val="20"/>
          <w:szCs w:val="20"/>
        </w:rPr>
        <w:t>The new Standard on FRS 139 established principles for</w:t>
      </w:r>
      <w:r w:rsidRPr="003923D8">
        <w:rPr>
          <w:rFonts w:ascii="Arial Narrow" w:hAnsi="Arial Narrow"/>
          <w:sz w:val="20"/>
          <w:szCs w:val="20"/>
          <w:lang w:val="en-GB"/>
        </w:rPr>
        <w:t xml:space="preserve"> recognising</w:t>
      </w:r>
      <w:r>
        <w:rPr>
          <w:rFonts w:ascii="Arial Narrow" w:hAnsi="Arial Narrow"/>
          <w:sz w:val="20"/>
          <w:szCs w:val="20"/>
        </w:rPr>
        <w:t xml:space="preserve"> and measuring financial assets, financial liabilities and some contracts to buy and sell non-financial items.  In accordance with the requirement of this standard, financial derivatives are stated at fair value which is equivalent to the marking of the financial derivatives to market, using prevailing market rates. Financial derivatives with positive market values (unrealized gains) are included under current assets and financial derivative with negative market values (unrealized losses) are included under current liabilities in the statement of financial position. </w:t>
      </w:r>
      <w:r w:rsidR="00C31B79">
        <w:rPr>
          <w:rFonts w:ascii="Arial Narrow" w:hAnsi="Arial Narrow"/>
          <w:sz w:val="20"/>
          <w:szCs w:val="20"/>
        </w:rPr>
        <w:t>Any gains or losses arising from changes in fair value on financial derivatives during the financial period that do not qualify for hedge accounting and the ineffective portion of effective hedge, are taken directly to the statement of comprehensive income.</w:t>
      </w:r>
    </w:p>
    <w:p w:rsidR="000A152A" w:rsidRDefault="000A152A" w:rsidP="00CB132F">
      <w:pPr>
        <w:pStyle w:val="ListParagraph"/>
        <w:spacing w:after="0"/>
        <w:jc w:val="both"/>
        <w:rPr>
          <w:rFonts w:ascii="Arial Narrow" w:hAnsi="Arial Narrow"/>
          <w:sz w:val="20"/>
          <w:szCs w:val="20"/>
        </w:rPr>
      </w:pPr>
    </w:p>
    <w:p w:rsidR="007A36B9" w:rsidRDefault="00C31B79" w:rsidP="00CB132F">
      <w:pPr>
        <w:pStyle w:val="ListParagraph"/>
        <w:spacing w:after="0"/>
        <w:jc w:val="both"/>
        <w:rPr>
          <w:rFonts w:ascii="Arial Narrow" w:hAnsi="Arial Narrow"/>
          <w:sz w:val="20"/>
          <w:szCs w:val="20"/>
        </w:rPr>
      </w:pPr>
      <w:r>
        <w:rPr>
          <w:rFonts w:ascii="Arial Narrow" w:hAnsi="Arial Narrow"/>
          <w:sz w:val="20"/>
          <w:szCs w:val="20"/>
        </w:rPr>
        <w:t>The adoption of other interpretations and revisions to existing FRSs, IC Interpretations and Amendments mandatory for annual periods beginning on or after 1 January 2010 did not result in significant changes in the reporting profit or equity or on the disclosures in the financial statements.</w:t>
      </w:r>
    </w:p>
    <w:p w:rsidR="00E20C5F" w:rsidRDefault="00E20C5F" w:rsidP="00CB132F">
      <w:pPr>
        <w:pStyle w:val="ListParagraph"/>
        <w:spacing w:after="0"/>
        <w:jc w:val="both"/>
        <w:rPr>
          <w:rFonts w:ascii="Arial Narrow" w:hAnsi="Arial Narrow"/>
          <w:sz w:val="20"/>
          <w:szCs w:val="20"/>
        </w:rPr>
      </w:pPr>
    </w:p>
    <w:p w:rsidR="002B7186" w:rsidRPr="00C31B79" w:rsidRDefault="002B7186" w:rsidP="002B7186">
      <w:pPr>
        <w:tabs>
          <w:tab w:val="left" w:pos="450"/>
        </w:tabs>
        <w:spacing w:after="0"/>
        <w:ind w:left="360"/>
        <w:jc w:val="both"/>
        <w:rPr>
          <w:rFonts w:ascii="Arial Narrow" w:hAnsi="Arial Narrow"/>
          <w:b/>
          <w:sz w:val="20"/>
          <w:szCs w:val="20"/>
        </w:rPr>
      </w:pPr>
      <w:r>
        <w:rPr>
          <w:rFonts w:ascii="Arial Narrow" w:hAnsi="Arial Narrow"/>
          <w:b/>
          <w:sz w:val="20"/>
          <w:szCs w:val="20"/>
        </w:rPr>
        <w:t>A3.</w:t>
      </w:r>
      <w:r>
        <w:rPr>
          <w:rFonts w:ascii="Arial Narrow" w:hAnsi="Arial Narrow"/>
          <w:b/>
          <w:sz w:val="20"/>
          <w:szCs w:val="20"/>
        </w:rPr>
        <w:tab/>
      </w:r>
      <w:r w:rsidRPr="00C31B79">
        <w:rPr>
          <w:rFonts w:ascii="Arial Narrow" w:hAnsi="Arial Narrow"/>
          <w:b/>
          <w:sz w:val="20"/>
          <w:szCs w:val="20"/>
        </w:rPr>
        <w:t>Audit</w:t>
      </w:r>
      <w:r>
        <w:rPr>
          <w:rFonts w:ascii="Arial Narrow" w:hAnsi="Arial Narrow"/>
          <w:b/>
          <w:sz w:val="20"/>
          <w:szCs w:val="20"/>
        </w:rPr>
        <w:t>ors’ report of preceding annual financial statements</w:t>
      </w:r>
    </w:p>
    <w:p w:rsidR="002B7186" w:rsidRDefault="002B7186" w:rsidP="002B7186">
      <w:pPr>
        <w:spacing w:after="0"/>
        <w:ind w:left="720"/>
        <w:jc w:val="both"/>
        <w:rPr>
          <w:rFonts w:ascii="Arial Narrow" w:hAnsi="Arial Narrow"/>
          <w:sz w:val="20"/>
          <w:szCs w:val="20"/>
        </w:rPr>
      </w:pPr>
    </w:p>
    <w:p w:rsidR="002B7186" w:rsidRPr="00ED7370" w:rsidRDefault="002B7186" w:rsidP="002B7186">
      <w:pPr>
        <w:spacing w:after="0"/>
        <w:ind w:left="720"/>
        <w:jc w:val="both"/>
        <w:rPr>
          <w:rFonts w:ascii="Arial Narrow" w:hAnsi="Arial Narrow"/>
          <w:sz w:val="20"/>
          <w:szCs w:val="20"/>
        </w:rPr>
      </w:pPr>
      <w:r>
        <w:rPr>
          <w:rFonts w:ascii="Arial Narrow" w:hAnsi="Arial Narrow"/>
          <w:sz w:val="20"/>
          <w:szCs w:val="20"/>
        </w:rPr>
        <w:t xml:space="preserve">The auditors’ report </w:t>
      </w:r>
      <w:r w:rsidR="008278EA">
        <w:rPr>
          <w:rFonts w:ascii="Arial Narrow" w:hAnsi="Arial Narrow"/>
          <w:sz w:val="20"/>
          <w:szCs w:val="20"/>
        </w:rPr>
        <w:t>f</w:t>
      </w:r>
      <w:r>
        <w:rPr>
          <w:rFonts w:ascii="Arial Narrow" w:hAnsi="Arial Narrow"/>
          <w:sz w:val="20"/>
          <w:szCs w:val="20"/>
        </w:rPr>
        <w:t>or the audited annual financial statements for the year ended 31 December 2009 was not qualified.</w:t>
      </w:r>
    </w:p>
    <w:p w:rsidR="002B7186" w:rsidRDefault="002B7186" w:rsidP="002B7186">
      <w:pPr>
        <w:spacing w:after="0"/>
        <w:ind w:left="720"/>
        <w:jc w:val="both"/>
        <w:rPr>
          <w:rFonts w:ascii="Arial Narrow" w:hAnsi="Arial Narrow"/>
          <w:sz w:val="20"/>
          <w:szCs w:val="20"/>
        </w:rPr>
      </w:pPr>
    </w:p>
    <w:p w:rsidR="002B7186" w:rsidRPr="00EA790D" w:rsidRDefault="002B7186" w:rsidP="002B7186">
      <w:pPr>
        <w:spacing w:after="0"/>
        <w:ind w:left="360"/>
        <w:jc w:val="both"/>
        <w:rPr>
          <w:rFonts w:ascii="Arial Narrow" w:hAnsi="Arial Narrow"/>
          <w:b/>
          <w:sz w:val="20"/>
          <w:szCs w:val="20"/>
        </w:rPr>
      </w:pPr>
      <w:r>
        <w:rPr>
          <w:rFonts w:ascii="Arial Narrow" w:hAnsi="Arial Narrow"/>
          <w:b/>
          <w:sz w:val="20"/>
          <w:szCs w:val="20"/>
        </w:rPr>
        <w:t>A4.</w:t>
      </w:r>
      <w:r>
        <w:rPr>
          <w:rFonts w:ascii="Arial Narrow" w:hAnsi="Arial Narrow"/>
          <w:b/>
          <w:sz w:val="20"/>
          <w:szCs w:val="20"/>
        </w:rPr>
        <w:tab/>
      </w:r>
      <w:r w:rsidRPr="00EA790D">
        <w:rPr>
          <w:rFonts w:ascii="Arial Narrow" w:hAnsi="Arial Narrow"/>
          <w:b/>
          <w:sz w:val="20"/>
          <w:szCs w:val="20"/>
        </w:rPr>
        <w:t>Seasonal or cyclical factors</w:t>
      </w:r>
    </w:p>
    <w:p w:rsidR="002B7186" w:rsidRDefault="002B7186" w:rsidP="002B7186">
      <w:pPr>
        <w:pStyle w:val="ListParagraph"/>
        <w:spacing w:after="0"/>
        <w:jc w:val="both"/>
        <w:rPr>
          <w:rFonts w:ascii="Arial Narrow" w:hAnsi="Arial Narrow"/>
          <w:sz w:val="20"/>
          <w:szCs w:val="20"/>
        </w:rPr>
      </w:pPr>
    </w:p>
    <w:p w:rsidR="002B7186" w:rsidRPr="00132824" w:rsidRDefault="002B7186" w:rsidP="002B7186">
      <w:pPr>
        <w:pStyle w:val="ListParagraph"/>
        <w:spacing w:after="0"/>
        <w:jc w:val="both"/>
        <w:rPr>
          <w:rFonts w:ascii="Arial Narrow" w:hAnsi="Arial Narrow"/>
          <w:sz w:val="20"/>
          <w:szCs w:val="20"/>
        </w:rPr>
      </w:pPr>
      <w:r>
        <w:rPr>
          <w:rFonts w:ascii="Arial Narrow" w:hAnsi="Arial Narrow"/>
          <w:sz w:val="20"/>
          <w:szCs w:val="20"/>
        </w:rPr>
        <w:t>The business operations of the Group are affected by the cycles of capital and repair/maintenance programs implemented by major players in the oil, gas, and petrochemical sector.</w:t>
      </w:r>
    </w:p>
    <w:p w:rsidR="002B7186" w:rsidRPr="00132824" w:rsidRDefault="002B7186" w:rsidP="002B7186">
      <w:pPr>
        <w:spacing w:after="0"/>
        <w:ind w:left="720"/>
        <w:jc w:val="both"/>
        <w:rPr>
          <w:rFonts w:ascii="Arial Narrow" w:hAnsi="Arial Narrow"/>
          <w:sz w:val="20"/>
          <w:szCs w:val="20"/>
        </w:rPr>
      </w:pPr>
    </w:p>
    <w:p w:rsidR="002B7186" w:rsidRPr="00EA790D" w:rsidRDefault="002B7186" w:rsidP="002B7186">
      <w:pPr>
        <w:spacing w:after="0"/>
        <w:ind w:left="360"/>
        <w:jc w:val="both"/>
        <w:rPr>
          <w:rFonts w:ascii="Arial Narrow" w:hAnsi="Arial Narrow"/>
          <w:b/>
          <w:sz w:val="20"/>
          <w:szCs w:val="20"/>
        </w:rPr>
      </w:pPr>
      <w:r>
        <w:rPr>
          <w:rFonts w:ascii="Arial Narrow" w:hAnsi="Arial Narrow"/>
          <w:b/>
          <w:sz w:val="20"/>
          <w:szCs w:val="20"/>
        </w:rPr>
        <w:t>A5.</w:t>
      </w:r>
      <w:r>
        <w:rPr>
          <w:rFonts w:ascii="Arial Narrow" w:hAnsi="Arial Narrow"/>
          <w:b/>
          <w:sz w:val="20"/>
          <w:szCs w:val="20"/>
        </w:rPr>
        <w:tab/>
      </w:r>
      <w:r w:rsidRPr="00EA790D">
        <w:rPr>
          <w:rFonts w:ascii="Arial Narrow" w:hAnsi="Arial Narrow"/>
          <w:b/>
          <w:sz w:val="20"/>
          <w:szCs w:val="20"/>
        </w:rPr>
        <w:t xml:space="preserve">Unusual </w:t>
      </w:r>
      <w:r>
        <w:rPr>
          <w:rFonts w:ascii="Arial Narrow" w:hAnsi="Arial Narrow"/>
          <w:b/>
          <w:sz w:val="20"/>
          <w:szCs w:val="20"/>
        </w:rPr>
        <w:t>item affecting assets, liabilities, equity, net income or cash flow</w:t>
      </w:r>
    </w:p>
    <w:p w:rsidR="002B7186" w:rsidRDefault="002B7186" w:rsidP="002B7186">
      <w:pPr>
        <w:pStyle w:val="ListParagraph"/>
        <w:spacing w:after="0"/>
        <w:jc w:val="both"/>
        <w:rPr>
          <w:rFonts w:ascii="Arial Narrow" w:hAnsi="Arial Narrow"/>
          <w:sz w:val="20"/>
          <w:szCs w:val="20"/>
        </w:rPr>
      </w:pPr>
    </w:p>
    <w:p w:rsidR="002B7186" w:rsidRDefault="002B7186" w:rsidP="002B7186">
      <w:pPr>
        <w:pStyle w:val="ListParagraph"/>
        <w:spacing w:after="0"/>
        <w:jc w:val="both"/>
        <w:rPr>
          <w:rFonts w:ascii="Arial Narrow" w:hAnsi="Arial Narrow"/>
          <w:sz w:val="20"/>
          <w:szCs w:val="20"/>
        </w:rPr>
      </w:pPr>
      <w:r>
        <w:rPr>
          <w:rFonts w:ascii="Arial Narrow" w:hAnsi="Arial Narrow"/>
          <w:sz w:val="20"/>
          <w:szCs w:val="20"/>
        </w:rPr>
        <w:t xml:space="preserve">There were no unusual items affecting assets, liabilities, equity, net income or cash flows </w:t>
      </w:r>
      <w:r w:rsidR="008278EA">
        <w:rPr>
          <w:rFonts w:ascii="Arial Narrow" w:hAnsi="Arial Narrow"/>
          <w:sz w:val="20"/>
          <w:szCs w:val="20"/>
        </w:rPr>
        <w:t>of the Group during the</w:t>
      </w:r>
      <w:r>
        <w:rPr>
          <w:rFonts w:ascii="Arial Narrow" w:hAnsi="Arial Narrow"/>
          <w:sz w:val="20"/>
          <w:szCs w:val="20"/>
        </w:rPr>
        <w:t xml:space="preserve"> financial quarter</w:t>
      </w:r>
      <w:r w:rsidR="0052237C">
        <w:rPr>
          <w:rFonts w:ascii="Arial Narrow" w:hAnsi="Arial Narrow"/>
          <w:sz w:val="20"/>
          <w:szCs w:val="20"/>
        </w:rPr>
        <w:t xml:space="preserve"> under review.</w:t>
      </w:r>
    </w:p>
    <w:p w:rsidR="002B7186" w:rsidRDefault="002B7186" w:rsidP="002B7186">
      <w:pPr>
        <w:pStyle w:val="ListParagraph"/>
        <w:spacing w:after="0"/>
        <w:jc w:val="both"/>
        <w:rPr>
          <w:rFonts w:ascii="Arial Narrow" w:hAnsi="Arial Narrow"/>
          <w:sz w:val="20"/>
          <w:szCs w:val="20"/>
        </w:rPr>
      </w:pPr>
    </w:p>
    <w:p w:rsidR="002B7186" w:rsidRPr="009604D3" w:rsidRDefault="002B7186" w:rsidP="002B7186">
      <w:pPr>
        <w:spacing w:after="0"/>
        <w:ind w:left="360"/>
        <w:jc w:val="both"/>
        <w:rPr>
          <w:rFonts w:ascii="Arial Narrow" w:hAnsi="Arial Narrow"/>
          <w:b/>
          <w:sz w:val="20"/>
          <w:szCs w:val="20"/>
        </w:rPr>
      </w:pPr>
      <w:r>
        <w:rPr>
          <w:rFonts w:ascii="Arial Narrow" w:hAnsi="Arial Narrow"/>
          <w:b/>
          <w:sz w:val="20"/>
          <w:szCs w:val="20"/>
        </w:rPr>
        <w:t>A6.</w:t>
      </w:r>
      <w:r>
        <w:rPr>
          <w:rFonts w:ascii="Arial Narrow" w:hAnsi="Arial Narrow"/>
          <w:b/>
          <w:sz w:val="20"/>
          <w:szCs w:val="20"/>
        </w:rPr>
        <w:tab/>
        <w:t>Material c</w:t>
      </w:r>
      <w:r w:rsidRPr="009604D3">
        <w:rPr>
          <w:rFonts w:ascii="Arial Narrow" w:hAnsi="Arial Narrow"/>
          <w:b/>
          <w:sz w:val="20"/>
          <w:szCs w:val="20"/>
        </w:rPr>
        <w:t>hanges in estimates</w:t>
      </w:r>
    </w:p>
    <w:p w:rsidR="002B7186" w:rsidRDefault="002B7186" w:rsidP="002B7186">
      <w:pPr>
        <w:spacing w:after="0"/>
        <w:ind w:left="720"/>
        <w:jc w:val="both"/>
        <w:rPr>
          <w:rFonts w:ascii="Arial Narrow" w:hAnsi="Arial Narrow"/>
          <w:sz w:val="20"/>
          <w:szCs w:val="20"/>
        </w:rPr>
      </w:pPr>
    </w:p>
    <w:p w:rsidR="002B7186" w:rsidRDefault="002B7186" w:rsidP="002B7186">
      <w:pPr>
        <w:spacing w:after="0"/>
        <w:ind w:left="720"/>
        <w:jc w:val="both"/>
        <w:rPr>
          <w:rFonts w:ascii="Arial Narrow" w:hAnsi="Arial Narrow"/>
          <w:sz w:val="20"/>
          <w:szCs w:val="20"/>
        </w:rPr>
      </w:pPr>
      <w:r>
        <w:rPr>
          <w:rFonts w:ascii="Arial Narrow" w:hAnsi="Arial Narrow"/>
          <w:sz w:val="20"/>
          <w:szCs w:val="20"/>
        </w:rPr>
        <w:t xml:space="preserve">There were no changes in estimates that have had material effect </w:t>
      </w:r>
      <w:r w:rsidR="00087701">
        <w:rPr>
          <w:rFonts w:ascii="Arial Narrow" w:hAnsi="Arial Narrow"/>
          <w:sz w:val="20"/>
          <w:szCs w:val="20"/>
        </w:rPr>
        <w:t>o</w:t>
      </w:r>
      <w:r>
        <w:rPr>
          <w:rFonts w:ascii="Arial Narrow" w:hAnsi="Arial Narrow"/>
          <w:sz w:val="20"/>
          <w:szCs w:val="20"/>
        </w:rPr>
        <w:t xml:space="preserve">n the </w:t>
      </w:r>
      <w:r w:rsidR="00087701">
        <w:rPr>
          <w:rFonts w:ascii="Arial Narrow" w:hAnsi="Arial Narrow"/>
          <w:sz w:val="20"/>
          <w:szCs w:val="20"/>
        </w:rPr>
        <w:t xml:space="preserve">results of the </w:t>
      </w:r>
      <w:r>
        <w:rPr>
          <w:rFonts w:ascii="Arial Narrow" w:hAnsi="Arial Narrow"/>
          <w:sz w:val="20"/>
          <w:szCs w:val="20"/>
        </w:rPr>
        <w:t>financial quarter</w:t>
      </w:r>
      <w:r w:rsidR="00087701">
        <w:rPr>
          <w:rFonts w:ascii="Arial Narrow" w:hAnsi="Arial Narrow"/>
          <w:sz w:val="20"/>
          <w:szCs w:val="20"/>
        </w:rPr>
        <w:t xml:space="preserve"> under review.</w:t>
      </w:r>
    </w:p>
    <w:p w:rsidR="00C31B79" w:rsidRDefault="00C31B79" w:rsidP="00CB132F">
      <w:pPr>
        <w:pStyle w:val="ListParagraph"/>
        <w:spacing w:after="0"/>
        <w:jc w:val="both"/>
        <w:rPr>
          <w:rFonts w:ascii="Arial Narrow" w:hAnsi="Arial Narrow"/>
          <w:sz w:val="20"/>
          <w:szCs w:val="20"/>
        </w:rPr>
      </w:pPr>
    </w:p>
    <w:p w:rsidR="00C31B79" w:rsidRDefault="00C31B79" w:rsidP="00CB132F">
      <w:pPr>
        <w:pStyle w:val="ListParagraph"/>
        <w:spacing w:after="0"/>
        <w:jc w:val="both"/>
        <w:rPr>
          <w:rFonts w:ascii="Arial Narrow" w:hAnsi="Arial Narrow"/>
          <w:sz w:val="20"/>
          <w:szCs w:val="20"/>
        </w:rPr>
      </w:pPr>
    </w:p>
    <w:p w:rsidR="002B7186" w:rsidRDefault="002B7186" w:rsidP="00CB132F">
      <w:pPr>
        <w:pStyle w:val="ListParagraph"/>
        <w:spacing w:after="0"/>
        <w:jc w:val="both"/>
        <w:rPr>
          <w:rFonts w:ascii="Arial Narrow" w:hAnsi="Arial Narrow"/>
          <w:sz w:val="20"/>
          <w:szCs w:val="20"/>
        </w:rPr>
      </w:pPr>
    </w:p>
    <w:p w:rsidR="002B7186" w:rsidRDefault="002B7186" w:rsidP="00CB132F">
      <w:pPr>
        <w:pStyle w:val="ListParagraph"/>
        <w:spacing w:after="0"/>
        <w:jc w:val="both"/>
        <w:rPr>
          <w:rFonts w:ascii="Arial Narrow" w:hAnsi="Arial Narrow"/>
          <w:sz w:val="20"/>
          <w:szCs w:val="20"/>
        </w:rPr>
      </w:pPr>
    </w:p>
    <w:p w:rsidR="002B7186" w:rsidRDefault="002B7186" w:rsidP="00CB132F">
      <w:pPr>
        <w:pStyle w:val="ListParagraph"/>
        <w:spacing w:after="0"/>
        <w:jc w:val="both"/>
        <w:rPr>
          <w:rFonts w:ascii="Arial Narrow" w:hAnsi="Arial Narrow"/>
          <w:sz w:val="20"/>
          <w:szCs w:val="20"/>
        </w:rPr>
      </w:pPr>
    </w:p>
    <w:p w:rsidR="002B7186" w:rsidRDefault="002B7186" w:rsidP="00CB132F">
      <w:pPr>
        <w:pStyle w:val="ListParagraph"/>
        <w:spacing w:after="0"/>
        <w:jc w:val="both"/>
        <w:rPr>
          <w:rFonts w:ascii="Arial Narrow" w:hAnsi="Arial Narrow"/>
          <w:sz w:val="20"/>
          <w:szCs w:val="20"/>
        </w:rPr>
      </w:pPr>
    </w:p>
    <w:p w:rsidR="00C31B79" w:rsidRDefault="00C31B79" w:rsidP="00CB132F">
      <w:pPr>
        <w:pStyle w:val="ListParagraph"/>
        <w:spacing w:after="0"/>
        <w:jc w:val="both"/>
        <w:rPr>
          <w:rFonts w:ascii="Arial Narrow" w:hAnsi="Arial Narrow"/>
          <w:sz w:val="20"/>
          <w:szCs w:val="20"/>
        </w:rPr>
      </w:pPr>
    </w:p>
    <w:p w:rsidR="00C31B79" w:rsidRPr="00AF6798" w:rsidRDefault="00C31B79" w:rsidP="00C31B79">
      <w:pPr>
        <w:spacing w:after="0"/>
        <w:rPr>
          <w:rFonts w:ascii="Arial Narrow" w:hAnsi="Arial Narrow" w:cs="Arial"/>
          <w:b/>
          <w:sz w:val="20"/>
          <w:szCs w:val="20"/>
        </w:rPr>
      </w:pPr>
      <w:r>
        <w:rPr>
          <w:rFonts w:ascii="Arial Narrow" w:hAnsi="Arial Narrow" w:cs="Arial"/>
          <w:b/>
          <w:sz w:val="20"/>
          <w:szCs w:val="20"/>
        </w:rPr>
        <w:t>T</w:t>
      </w:r>
      <w:r w:rsidRPr="00AF6798">
        <w:rPr>
          <w:rFonts w:ascii="Arial Narrow" w:hAnsi="Arial Narrow" w:cs="Arial"/>
          <w:b/>
          <w:sz w:val="20"/>
          <w:szCs w:val="20"/>
        </w:rPr>
        <w:t>URBO-MECH BERHAD (863263-D)</w:t>
      </w:r>
    </w:p>
    <w:p w:rsidR="00C31B79" w:rsidRPr="00AF6798" w:rsidRDefault="00C31B79" w:rsidP="00C31B79">
      <w:pPr>
        <w:spacing w:after="0"/>
        <w:rPr>
          <w:rFonts w:ascii="Arial Narrow" w:hAnsi="Arial Narrow" w:cs="Arial"/>
          <w:b/>
          <w:sz w:val="20"/>
          <w:szCs w:val="20"/>
        </w:rPr>
      </w:pPr>
      <w:r w:rsidRPr="00AF6798">
        <w:rPr>
          <w:rFonts w:ascii="Arial Narrow" w:hAnsi="Arial Narrow" w:cs="Arial"/>
          <w:b/>
          <w:sz w:val="20"/>
          <w:szCs w:val="20"/>
        </w:rPr>
        <w:t>INTERIM FINANCIAL REPORT FOR THE</w:t>
      </w:r>
      <w:r w:rsidR="00723268">
        <w:rPr>
          <w:rFonts w:ascii="Arial Narrow" w:hAnsi="Arial Narrow" w:cs="Arial"/>
          <w:b/>
          <w:sz w:val="20"/>
          <w:szCs w:val="20"/>
        </w:rPr>
        <w:t xml:space="preserve"> SECOND</w:t>
      </w:r>
      <w:r w:rsidRPr="00AF6798">
        <w:rPr>
          <w:rFonts w:ascii="Arial Narrow" w:hAnsi="Arial Narrow" w:cs="Arial"/>
          <w:b/>
          <w:sz w:val="20"/>
          <w:szCs w:val="20"/>
        </w:rPr>
        <w:t xml:space="preserve"> QUARTER ENDED 3</w:t>
      </w:r>
      <w:r w:rsidR="009C216A">
        <w:rPr>
          <w:rFonts w:ascii="Arial Narrow" w:hAnsi="Arial Narrow" w:cs="Arial"/>
          <w:b/>
          <w:sz w:val="20"/>
          <w:szCs w:val="20"/>
        </w:rPr>
        <w:t>0</w:t>
      </w:r>
      <w:r w:rsidRPr="00AF6798">
        <w:rPr>
          <w:rFonts w:ascii="Arial Narrow" w:hAnsi="Arial Narrow" w:cs="Arial"/>
          <w:b/>
          <w:sz w:val="20"/>
          <w:szCs w:val="20"/>
        </w:rPr>
        <w:t xml:space="preserve"> </w:t>
      </w:r>
      <w:r w:rsidR="009C216A">
        <w:rPr>
          <w:rFonts w:ascii="Arial Narrow" w:hAnsi="Arial Narrow" w:cs="Arial"/>
          <w:b/>
          <w:sz w:val="20"/>
          <w:szCs w:val="20"/>
        </w:rPr>
        <w:t>JUNE</w:t>
      </w:r>
      <w:r w:rsidRPr="00AF6798">
        <w:rPr>
          <w:rFonts w:ascii="Arial Narrow" w:hAnsi="Arial Narrow" w:cs="Arial"/>
          <w:b/>
          <w:sz w:val="20"/>
          <w:szCs w:val="20"/>
        </w:rPr>
        <w:t xml:space="preserve"> 2010</w:t>
      </w:r>
    </w:p>
    <w:p w:rsidR="00C31B79" w:rsidRPr="00AF6798" w:rsidRDefault="00C31B79" w:rsidP="00C31B79">
      <w:pPr>
        <w:spacing w:after="0"/>
        <w:rPr>
          <w:rFonts w:ascii="Arial Narrow" w:hAnsi="Arial Narrow"/>
          <w:b/>
          <w:sz w:val="20"/>
          <w:szCs w:val="20"/>
        </w:rPr>
      </w:pPr>
    </w:p>
    <w:p w:rsidR="00C31B79" w:rsidRPr="00016687" w:rsidRDefault="00C31B79" w:rsidP="00C31B79">
      <w:pPr>
        <w:spacing w:after="0"/>
        <w:rPr>
          <w:rFonts w:ascii="Arial Narrow" w:hAnsi="Arial Narrow"/>
          <w:sz w:val="20"/>
          <w:szCs w:val="20"/>
        </w:rPr>
      </w:pPr>
      <w:r>
        <w:rPr>
          <w:rFonts w:ascii="Arial Narrow" w:hAnsi="Arial Narrow"/>
          <w:b/>
          <w:sz w:val="20"/>
          <w:szCs w:val="20"/>
        </w:rPr>
        <w:t>EXPLANATORY NOTES IN COMPLIANCE WITH FINANCIAL REPORTING STANDARDS (“FRS”) 134</w:t>
      </w:r>
      <w:r w:rsidRPr="00AF6798">
        <w:rPr>
          <w:rFonts w:ascii="Arial Narrow" w:hAnsi="Arial Narrow"/>
          <w:b/>
          <w:sz w:val="20"/>
          <w:szCs w:val="20"/>
        </w:rPr>
        <w:t xml:space="preserve"> INTERIM FINANCIAL REPORT</w:t>
      </w:r>
      <w:r>
        <w:rPr>
          <w:rFonts w:ascii="Arial Narrow" w:hAnsi="Arial Narrow"/>
          <w:b/>
          <w:sz w:val="20"/>
          <w:szCs w:val="20"/>
        </w:rPr>
        <w:t xml:space="preserve"> (CONT’D)</w:t>
      </w:r>
    </w:p>
    <w:p w:rsidR="00C31B79" w:rsidRDefault="00C31B79" w:rsidP="00CB132F">
      <w:pPr>
        <w:pStyle w:val="ListParagraph"/>
        <w:spacing w:after="0"/>
        <w:jc w:val="both"/>
        <w:rPr>
          <w:rFonts w:ascii="Arial Narrow" w:hAnsi="Arial Narrow"/>
          <w:sz w:val="20"/>
          <w:szCs w:val="20"/>
        </w:rPr>
      </w:pPr>
    </w:p>
    <w:p w:rsidR="001C1E2C" w:rsidRDefault="001C1E2C" w:rsidP="00CB132F">
      <w:pPr>
        <w:pStyle w:val="ListParagraph"/>
        <w:spacing w:after="0"/>
        <w:jc w:val="both"/>
        <w:rPr>
          <w:rFonts w:ascii="Arial Narrow" w:hAnsi="Arial Narrow"/>
          <w:sz w:val="20"/>
          <w:szCs w:val="20"/>
        </w:rPr>
      </w:pPr>
    </w:p>
    <w:p w:rsidR="002B7186" w:rsidRPr="009604D3" w:rsidRDefault="002B7186" w:rsidP="002B7186">
      <w:pPr>
        <w:spacing w:after="0"/>
        <w:ind w:left="360"/>
        <w:jc w:val="both"/>
        <w:rPr>
          <w:rFonts w:ascii="Arial Narrow" w:hAnsi="Arial Narrow"/>
          <w:b/>
          <w:sz w:val="20"/>
          <w:szCs w:val="20"/>
        </w:rPr>
      </w:pPr>
      <w:r>
        <w:rPr>
          <w:rFonts w:ascii="Arial Narrow" w:hAnsi="Arial Narrow"/>
          <w:b/>
          <w:sz w:val="20"/>
          <w:szCs w:val="20"/>
        </w:rPr>
        <w:t>A7.</w:t>
      </w:r>
      <w:r>
        <w:rPr>
          <w:rFonts w:ascii="Arial Narrow" w:hAnsi="Arial Narrow"/>
          <w:b/>
          <w:sz w:val="20"/>
          <w:szCs w:val="20"/>
        </w:rPr>
        <w:tab/>
      </w:r>
      <w:r w:rsidRPr="009604D3">
        <w:rPr>
          <w:rFonts w:ascii="Arial Narrow" w:hAnsi="Arial Narrow"/>
          <w:b/>
          <w:sz w:val="20"/>
          <w:szCs w:val="20"/>
        </w:rPr>
        <w:t>Carrying Amount of Revalued Assets</w:t>
      </w:r>
    </w:p>
    <w:p w:rsidR="002B7186" w:rsidRDefault="002B7186" w:rsidP="002B7186">
      <w:pPr>
        <w:spacing w:after="0"/>
        <w:jc w:val="both"/>
        <w:rPr>
          <w:rFonts w:ascii="Arial Narrow" w:hAnsi="Arial Narrow"/>
          <w:sz w:val="20"/>
          <w:szCs w:val="20"/>
        </w:rPr>
      </w:pPr>
    </w:p>
    <w:p w:rsidR="002B7186" w:rsidRDefault="002B7186" w:rsidP="002B7186">
      <w:pPr>
        <w:spacing w:after="0"/>
        <w:ind w:left="720"/>
        <w:jc w:val="both"/>
        <w:rPr>
          <w:rFonts w:ascii="Arial Narrow" w:hAnsi="Arial Narrow"/>
          <w:sz w:val="20"/>
          <w:szCs w:val="20"/>
        </w:rPr>
      </w:pPr>
      <w:r>
        <w:rPr>
          <w:rFonts w:ascii="Arial Narrow" w:hAnsi="Arial Narrow"/>
          <w:sz w:val="20"/>
          <w:szCs w:val="20"/>
        </w:rPr>
        <w:t xml:space="preserve">The </w:t>
      </w:r>
      <w:r w:rsidR="003923D8">
        <w:rPr>
          <w:rFonts w:ascii="Arial Narrow" w:hAnsi="Arial Narrow"/>
          <w:sz w:val="20"/>
          <w:szCs w:val="20"/>
        </w:rPr>
        <w:t>valuation of property, plant and equipment has</w:t>
      </w:r>
      <w:r>
        <w:rPr>
          <w:rFonts w:ascii="Arial Narrow" w:hAnsi="Arial Narrow"/>
          <w:sz w:val="20"/>
          <w:szCs w:val="20"/>
        </w:rPr>
        <w:t xml:space="preserve"> been brought forward without amendment from the audited financial statements for the financial year ended 31 December 2009.</w:t>
      </w:r>
    </w:p>
    <w:p w:rsidR="002B7186" w:rsidRDefault="002B7186" w:rsidP="002B7186">
      <w:pPr>
        <w:spacing w:after="0"/>
        <w:ind w:left="720"/>
        <w:jc w:val="both"/>
        <w:rPr>
          <w:rFonts w:ascii="Arial Narrow" w:hAnsi="Arial Narrow"/>
          <w:sz w:val="20"/>
          <w:szCs w:val="20"/>
        </w:rPr>
      </w:pPr>
    </w:p>
    <w:p w:rsidR="002B7186" w:rsidRPr="009604D3" w:rsidRDefault="002B7186" w:rsidP="002B7186">
      <w:pPr>
        <w:spacing w:after="0"/>
        <w:ind w:left="360"/>
        <w:jc w:val="both"/>
        <w:rPr>
          <w:rFonts w:ascii="Arial Narrow" w:hAnsi="Arial Narrow"/>
          <w:b/>
          <w:sz w:val="20"/>
          <w:szCs w:val="20"/>
        </w:rPr>
      </w:pPr>
      <w:r>
        <w:rPr>
          <w:rFonts w:ascii="Arial Narrow" w:hAnsi="Arial Narrow"/>
          <w:b/>
          <w:sz w:val="20"/>
          <w:szCs w:val="20"/>
        </w:rPr>
        <w:t>A8.</w:t>
      </w:r>
      <w:r>
        <w:rPr>
          <w:rFonts w:ascii="Arial Narrow" w:hAnsi="Arial Narrow"/>
          <w:b/>
          <w:sz w:val="20"/>
          <w:szCs w:val="20"/>
        </w:rPr>
        <w:tab/>
      </w:r>
      <w:r w:rsidRPr="009604D3">
        <w:rPr>
          <w:rFonts w:ascii="Arial Narrow" w:hAnsi="Arial Narrow"/>
          <w:b/>
          <w:sz w:val="20"/>
          <w:szCs w:val="20"/>
        </w:rPr>
        <w:t>Debt and Equity Securities</w:t>
      </w:r>
    </w:p>
    <w:p w:rsidR="002B7186" w:rsidRDefault="002B7186" w:rsidP="002B7186">
      <w:pPr>
        <w:pStyle w:val="ListParagraph"/>
        <w:spacing w:after="0"/>
        <w:jc w:val="both"/>
        <w:rPr>
          <w:rFonts w:ascii="Arial Narrow" w:hAnsi="Arial Narrow"/>
          <w:sz w:val="20"/>
          <w:szCs w:val="20"/>
        </w:rPr>
      </w:pPr>
    </w:p>
    <w:p w:rsidR="002B7186" w:rsidRDefault="002B7186" w:rsidP="002B7186">
      <w:pPr>
        <w:pStyle w:val="ListParagraph"/>
        <w:spacing w:after="0"/>
        <w:jc w:val="both"/>
        <w:rPr>
          <w:rFonts w:ascii="Arial Narrow" w:hAnsi="Arial Narrow"/>
          <w:sz w:val="20"/>
          <w:szCs w:val="20"/>
        </w:rPr>
      </w:pPr>
      <w:r>
        <w:rPr>
          <w:rFonts w:ascii="Arial Narrow" w:hAnsi="Arial Narrow"/>
          <w:sz w:val="20"/>
          <w:szCs w:val="20"/>
        </w:rPr>
        <w:t xml:space="preserve">Save as disclosed below, there were no issuance, cancellation, repurchase, resale or repayment of debt and/or equity securities, share buy-backs, share cancellations, shares held under treasury shares and resales of treasury shares for the financial </w:t>
      </w:r>
      <w:r w:rsidR="00D97BCE">
        <w:rPr>
          <w:rFonts w:ascii="Arial Narrow" w:hAnsi="Arial Narrow"/>
          <w:sz w:val="20"/>
          <w:szCs w:val="20"/>
        </w:rPr>
        <w:t>period</w:t>
      </w:r>
      <w:r>
        <w:rPr>
          <w:rFonts w:ascii="Arial Narrow" w:hAnsi="Arial Narrow"/>
          <w:sz w:val="20"/>
          <w:szCs w:val="20"/>
        </w:rPr>
        <w:t xml:space="preserve"> under review:</w:t>
      </w:r>
    </w:p>
    <w:p w:rsidR="002B7186" w:rsidRDefault="002B7186" w:rsidP="002B7186">
      <w:pPr>
        <w:pStyle w:val="ListParagraph"/>
        <w:spacing w:after="0"/>
        <w:jc w:val="both"/>
        <w:rPr>
          <w:rFonts w:ascii="Arial Narrow" w:hAnsi="Arial Narrow"/>
          <w:sz w:val="20"/>
          <w:szCs w:val="20"/>
        </w:rPr>
      </w:pPr>
    </w:p>
    <w:tbl>
      <w:tblPr>
        <w:tblStyle w:val="TableGrid"/>
        <w:tblW w:w="0" w:type="auto"/>
        <w:tblInd w:w="720" w:type="dxa"/>
        <w:tblLook w:val="04A0"/>
      </w:tblPr>
      <w:tblGrid>
        <w:gridCol w:w="1882"/>
        <w:gridCol w:w="1753"/>
        <w:gridCol w:w="1679"/>
        <w:gridCol w:w="1788"/>
        <w:gridCol w:w="1754"/>
      </w:tblGrid>
      <w:tr w:rsidR="008278EA" w:rsidTr="00725B79">
        <w:tc>
          <w:tcPr>
            <w:tcW w:w="1915" w:type="dxa"/>
            <w:tcBorders>
              <w:left w:val="single" w:sz="4" w:space="0" w:color="auto"/>
              <w:bottom w:val="nil"/>
              <w:right w:val="single" w:sz="4" w:space="0" w:color="auto"/>
            </w:tcBorders>
            <w:vAlign w:val="bottom"/>
          </w:tcPr>
          <w:p w:rsidR="008278EA" w:rsidRDefault="008278EA" w:rsidP="008278EA">
            <w:pPr>
              <w:pStyle w:val="ListParagraph"/>
              <w:ind w:left="0"/>
              <w:jc w:val="center"/>
              <w:rPr>
                <w:rFonts w:ascii="Arial Narrow" w:hAnsi="Arial Narrow"/>
                <w:sz w:val="20"/>
                <w:szCs w:val="20"/>
              </w:rPr>
            </w:pPr>
            <w:r>
              <w:rPr>
                <w:rFonts w:ascii="Arial Narrow" w:hAnsi="Arial Narrow"/>
                <w:sz w:val="20"/>
                <w:szCs w:val="20"/>
              </w:rPr>
              <w:t>Date of allotment/subdivision</w:t>
            </w:r>
          </w:p>
        </w:tc>
        <w:tc>
          <w:tcPr>
            <w:tcW w:w="1915" w:type="dxa"/>
            <w:tcBorders>
              <w:left w:val="single" w:sz="4" w:space="0" w:color="auto"/>
              <w:bottom w:val="nil"/>
              <w:right w:val="single" w:sz="4" w:space="0" w:color="auto"/>
            </w:tcBorders>
            <w:vAlign w:val="bottom"/>
          </w:tcPr>
          <w:p w:rsidR="008278EA" w:rsidRDefault="008278EA" w:rsidP="008278EA">
            <w:pPr>
              <w:pStyle w:val="ListParagraph"/>
              <w:ind w:left="0"/>
              <w:jc w:val="center"/>
              <w:rPr>
                <w:rFonts w:ascii="Arial Narrow" w:hAnsi="Arial Narrow"/>
                <w:sz w:val="20"/>
                <w:szCs w:val="20"/>
              </w:rPr>
            </w:pPr>
            <w:r>
              <w:rPr>
                <w:rFonts w:ascii="Arial Narrow" w:hAnsi="Arial Narrow"/>
                <w:sz w:val="20"/>
                <w:szCs w:val="20"/>
              </w:rPr>
              <w:t xml:space="preserve">Number of shares </w:t>
            </w:r>
            <w:r w:rsidR="00FD434F">
              <w:rPr>
                <w:rFonts w:ascii="Arial Narrow" w:hAnsi="Arial Narrow"/>
                <w:sz w:val="20"/>
                <w:szCs w:val="20"/>
              </w:rPr>
              <w:t>allotted</w:t>
            </w:r>
          </w:p>
        </w:tc>
        <w:tc>
          <w:tcPr>
            <w:tcW w:w="1915" w:type="dxa"/>
            <w:tcBorders>
              <w:left w:val="single" w:sz="4" w:space="0" w:color="auto"/>
              <w:bottom w:val="nil"/>
              <w:right w:val="single" w:sz="4" w:space="0" w:color="auto"/>
            </w:tcBorders>
            <w:vAlign w:val="bottom"/>
          </w:tcPr>
          <w:p w:rsidR="008278EA" w:rsidRDefault="008278EA" w:rsidP="008278EA">
            <w:pPr>
              <w:pStyle w:val="ListParagraph"/>
              <w:ind w:left="0"/>
              <w:jc w:val="center"/>
              <w:rPr>
                <w:rFonts w:ascii="Arial Narrow" w:hAnsi="Arial Narrow"/>
                <w:sz w:val="20"/>
                <w:szCs w:val="20"/>
              </w:rPr>
            </w:pPr>
            <w:r>
              <w:rPr>
                <w:rFonts w:ascii="Arial Narrow" w:hAnsi="Arial Narrow"/>
                <w:sz w:val="20"/>
                <w:szCs w:val="20"/>
              </w:rPr>
              <w:t>Par Value (RM)</w:t>
            </w:r>
          </w:p>
        </w:tc>
        <w:tc>
          <w:tcPr>
            <w:tcW w:w="1915" w:type="dxa"/>
            <w:tcBorders>
              <w:left w:val="single" w:sz="4" w:space="0" w:color="auto"/>
              <w:bottom w:val="nil"/>
              <w:right w:val="single" w:sz="4" w:space="0" w:color="auto"/>
            </w:tcBorders>
            <w:vAlign w:val="bottom"/>
          </w:tcPr>
          <w:p w:rsidR="008278EA" w:rsidRDefault="008278EA" w:rsidP="008278EA">
            <w:pPr>
              <w:pStyle w:val="ListParagraph"/>
              <w:ind w:left="0"/>
              <w:jc w:val="center"/>
              <w:rPr>
                <w:rFonts w:ascii="Arial Narrow" w:hAnsi="Arial Narrow"/>
                <w:sz w:val="20"/>
                <w:szCs w:val="20"/>
              </w:rPr>
            </w:pPr>
            <w:r>
              <w:rPr>
                <w:rFonts w:ascii="Arial Narrow" w:hAnsi="Arial Narrow"/>
                <w:sz w:val="20"/>
                <w:szCs w:val="20"/>
              </w:rPr>
              <w:t>Consideration</w:t>
            </w:r>
          </w:p>
        </w:tc>
        <w:tc>
          <w:tcPr>
            <w:tcW w:w="1916" w:type="dxa"/>
            <w:tcBorders>
              <w:left w:val="single" w:sz="4" w:space="0" w:color="auto"/>
              <w:bottom w:val="nil"/>
              <w:right w:val="single" w:sz="4" w:space="0" w:color="auto"/>
            </w:tcBorders>
            <w:vAlign w:val="bottom"/>
          </w:tcPr>
          <w:p w:rsidR="008278EA" w:rsidRDefault="008278EA" w:rsidP="008278EA">
            <w:pPr>
              <w:pStyle w:val="ListParagraph"/>
              <w:ind w:left="0"/>
              <w:jc w:val="center"/>
              <w:rPr>
                <w:rFonts w:ascii="Arial Narrow" w:hAnsi="Arial Narrow"/>
                <w:sz w:val="20"/>
                <w:szCs w:val="20"/>
              </w:rPr>
            </w:pPr>
            <w:r>
              <w:rPr>
                <w:rFonts w:ascii="Arial Narrow" w:hAnsi="Arial Narrow"/>
                <w:sz w:val="20"/>
                <w:szCs w:val="20"/>
              </w:rPr>
              <w:t>Cumulative Issued and Paid-up Share Capital (RM)</w:t>
            </w:r>
          </w:p>
        </w:tc>
      </w:tr>
      <w:tr w:rsidR="008278EA" w:rsidTr="00725B79">
        <w:tc>
          <w:tcPr>
            <w:tcW w:w="1915" w:type="dxa"/>
            <w:tcBorders>
              <w:top w:val="nil"/>
              <w:left w:val="single" w:sz="4" w:space="0" w:color="auto"/>
              <w:bottom w:val="single" w:sz="4" w:space="0" w:color="auto"/>
              <w:right w:val="single" w:sz="4" w:space="0" w:color="auto"/>
            </w:tcBorders>
          </w:tcPr>
          <w:p w:rsidR="008278EA" w:rsidRDefault="008278EA" w:rsidP="002B7186">
            <w:pPr>
              <w:pStyle w:val="ListParagraph"/>
              <w:ind w:left="0"/>
              <w:jc w:val="both"/>
              <w:rPr>
                <w:rFonts w:ascii="Arial Narrow" w:hAnsi="Arial Narrow"/>
                <w:sz w:val="20"/>
                <w:szCs w:val="20"/>
              </w:rPr>
            </w:pPr>
          </w:p>
        </w:tc>
        <w:tc>
          <w:tcPr>
            <w:tcW w:w="1915" w:type="dxa"/>
            <w:tcBorders>
              <w:top w:val="nil"/>
              <w:left w:val="single" w:sz="4" w:space="0" w:color="auto"/>
              <w:bottom w:val="single" w:sz="4" w:space="0" w:color="auto"/>
              <w:right w:val="single" w:sz="4" w:space="0" w:color="auto"/>
            </w:tcBorders>
          </w:tcPr>
          <w:p w:rsidR="008278EA" w:rsidRDefault="008278EA" w:rsidP="002B7186">
            <w:pPr>
              <w:pStyle w:val="ListParagraph"/>
              <w:ind w:left="0"/>
              <w:jc w:val="both"/>
              <w:rPr>
                <w:rFonts w:ascii="Arial Narrow" w:hAnsi="Arial Narrow"/>
                <w:sz w:val="20"/>
                <w:szCs w:val="20"/>
              </w:rPr>
            </w:pPr>
          </w:p>
        </w:tc>
        <w:tc>
          <w:tcPr>
            <w:tcW w:w="1915" w:type="dxa"/>
            <w:tcBorders>
              <w:top w:val="nil"/>
              <w:left w:val="single" w:sz="4" w:space="0" w:color="auto"/>
              <w:bottom w:val="single" w:sz="4" w:space="0" w:color="auto"/>
              <w:right w:val="single" w:sz="4" w:space="0" w:color="auto"/>
            </w:tcBorders>
          </w:tcPr>
          <w:p w:rsidR="008278EA" w:rsidRDefault="008278EA" w:rsidP="002B7186">
            <w:pPr>
              <w:pStyle w:val="ListParagraph"/>
              <w:ind w:left="0"/>
              <w:jc w:val="both"/>
              <w:rPr>
                <w:rFonts w:ascii="Arial Narrow" w:hAnsi="Arial Narrow"/>
                <w:sz w:val="20"/>
                <w:szCs w:val="20"/>
              </w:rPr>
            </w:pPr>
          </w:p>
        </w:tc>
        <w:tc>
          <w:tcPr>
            <w:tcW w:w="1915" w:type="dxa"/>
            <w:tcBorders>
              <w:top w:val="nil"/>
              <w:left w:val="single" w:sz="4" w:space="0" w:color="auto"/>
              <w:bottom w:val="single" w:sz="4" w:space="0" w:color="auto"/>
              <w:right w:val="single" w:sz="4" w:space="0" w:color="auto"/>
            </w:tcBorders>
          </w:tcPr>
          <w:p w:rsidR="008278EA" w:rsidRDefault="008278EA" w:rsidP="002B7186">
            <w:pPr>
              <w:pStyle w:val="ListParagraph"/>
              <w:ind w:left="0"/>
              <w:jc w:val="both"/>
              <w:rPr>
                <w:rFonts w:ascii="Arial Narrow" w:hAnsi="Arial Narrow"/>
                <w:sz w:val="20"/>
                <w:szCs w:val="20"/>
              </w:rPr>
            </w:pPr>
          </w:p>
        </w:tc>
        <w:tc>
          <w:tcPr>
            <w:tcW w:w="1916" w:type="dxa"/>
            <w:tcBorders>
              <w:top w:val="nil"/>
              <w:left w:val="single" w:sz="4" w:space="0" w:color="auto"/>
              <w:bottom w:val="single" w:sz="4" w:space="0" w:color="auto"/>
              <w:right w:val="single" w:sz="4" w:space="0" w:color="auto"/>
            </w:tcBorders>
          </w:tcPr>
          <w:p w:rsidR="008278EA" w:rsidRDefault="008278EA" w:rsidP="002B7186">
            <w:pPr>
              <w:pStyle w:val="ListParagraph"/>
              <w:ind w:left="0"/>
              <w:jc w:val="both"/>
              <w:rPr>
                <w:rFonts w:ascii="Arial Narrow" w:hAnsi="Arial Narrow"/>
                <w:sz w:val="20"/>
                <w:szCs w:val="20"/>
              </w:rPr>
            </w:pPr>
          </w:p>
        </w:tc>
      </w:tr>
      <w:tr w:rsidR="008278EA" w:rsidTr="008278EA">
        <w:tc>
          <w:tcPr>
            <w:tcW w:w="1915" w:type="dxa"/>
            <w:tcBorders>
              <w:top w:val="single" w:sz="4" w:space="0" w:color="auto"/>
            </w:tcBorders>
          </w:tcPr>
          <w:p w:rsidR="008278EA" w:rsidRDefault="008278EA" w:rsidP="002B7186">
            <w:pPr>
              <w:pStyle w:val="ListParagraph"/>
              <w:ind w:left="0"/>
              <w:jc w:val="both"/>
              <w:rPr>
                <w:rFonts w:ascii="Arial Narrow" w:hAnsi="Arial Narrow"/>
                <w:sz w:val="20"/>
                <w:szCs w:val="20"/>
              </w:rPr>
            </w:pPr>
            <w:r>
              <w:rPr>
                <w:rFonts w:ascii="Arial Narrow" w:hAnsi="Arial Narrow"/>
                <w:sz w:val="20"/>
                <w:szCs w:val="20"/>
              </w:rPr>
              <w:t>6 July 2009</w:t>
            </w:r>
          </w:p>
        </w:tc>
        <w:tc>
          <w:tcPr>
            <w:tcW w:w="1915" w:type="dxa"/>
            <w:tcBorders>
              <w:top w:val="single" w:sz="4" w:space="0" w:color="auto"/>
            </w:tcBorders>
            <w:vAlign w:val="bottom"/>
          </w:tcPr>
          <w:p w:rsidR="008278EA" w:rsidRDefault="008278EA" w:rsidP="008278EA">
            <w:pPr>
              <w:pStyle w:val="ListParagraph"/>
              <w:ind w:left="0"/>
              <w:jc w:val="right"/>
              <w:rPr>
                <w:rFonts w:ascii="Arial Narrow" w:hAnsi="Arial Narrow"/>
                <w:sz w:val="20"/>
                <w:szCs w:val="20"/>
              </w:rPr>
            </w:pPr>
            <w:r>
              <w:rPr>
                <w:rFonts w:ascii="Arial Narrow" w:hAnsi="Arial Narrow"/>
                <w:sz w:val="20"/>
                <w:szCs w:val="20"/>
              </w:rPr>
              <w:t>4</w:t>
            </w:r>
          </w:p>
        </w:tc>
        <w:tc>
          <w:tcPr>
            <w:tcW w:w="1915" w:type="dxa"/>
            <w:tcBorders>
              <w:top w:val="single" w:sz="4" w:space="0" w:color="auto"/>
            </w:tcBorders>
            <w:vAlign w:val="bottom"/>
          </w:tcPr>
          <w:p w:rsidR="008278EA" w:rsidRDefault="008278EA" w:rsidP="008278EA">
            <w:pPr>
              <w:pStyle w:val="ListParagraph"/>
              <w:ind w:left="0"/>
              <w:jc w:val="center"/>
              <w:rPr>
                <w:rFonts w:ascii="Arial Narrow" w:hAnsi="Arial Narrow"/>
                <w:sz w:val="20"/>
                <w:szCs w:val="20"/>
              </w:rPr>
            </w:pPr>
            <w:r>
              <w:rPr>
                <w:rFonts w:ascii="Arial Narrow" w:hAnsi="Arial Narrow"/>
                <w:sz w:val="20"/>
                <w:szCs w:val="20"/>
              </w:rPr>
              <w:t>0.50</w:t>
            </w:r>
          </w:p>
        </w:tc>
        <w:tc>
          <w:tcPr>
            <w:tcW w:w="1915" w:type="dxa"/>
            <w:tcBorders>
              <w:top w:val="single" w:sz="4" w:space="0" w:color="auto"/>
            </w:tcBorders>
          </w:tcPr>
          <w:p w:rsidR="008278EA" w:rsidRDefault="008278EA" w:rsidP="002B7186">
            <w:pPr>
              <w:pStyle w:val="ListParagraph"/>
              <w:ind w:left="0"/>
              <w:jc w:val="both"/>
              <w:rPr>
                <w:rFonts w:ascii="Arial Narrow" w:hAnsi="Arial Narrow"/>
                <w:sz w:val="20"/>
                <w:szCs w:val="20"/>
              </w:rPr>
            </w:pPr>
            <w:r>
              <w:rPr>
                <w:rFonts w:ascii="Arial Narrow" w:hAnsi="Arial Narrow"/>
                <w:sz w:val="20"/>
                <w:szCs w:val="20"/>
              </w:rPr>
              <w:t>Cash</w:t>
            </w:r>
          </w:p>
        </w:tc>
        <w:tc>
          <w:tcPr>
            <w:tcW w:w="1916" w:type="dxa"/>
            <w:tcBorders>
              <w:top w:val="single" w:sz="4" w:space="0" w:color="auto"/>
            </w:tcBorders>
            <w:vAlign w:val="bottom"/>
          </w:tcPr>
          <w:p w:rsidR="008278EA" w:rsidRDefault="008278EA" w:rsidP="008278EA">
            <w:pPr>
              <w:pStyle w:val="ListParagraph"/>
              <w:ind w:left="0"/>
              <w:jc w:val="right"/>
              <w:rPr>
                <w:rFonts w:ascii="Arial Narrow" w:hAnsi="Arial Narrow"/>
                <w:sz w:val="20"/>
                <w:szCs w:val="20"/>
              </w:rPr>
            </w:pPr>
            <w:r>
              <w:rPr>
                <w:rFonts w:ascii="Arial Narrow" w:hAnsi="Arial Narrow"/>
                <w:sz w:val="20"/>
                <w:szCs w:val="20"/>
              </w:rPr>
              <w:t>2</w:t>
            </w:r>
          </w:p>
        </w:tc>
      </w:tr>
      <w:tr w:rsidR="008278EA" w:rsidTr="008278EA">
        <w:tc>
          <w:tcPr>
            <w:tcW w:w="1915" w:type="dxa"/>
          </w:tcPr>
          <w:p w:rsidR="008278EA" w:rsidRDefault="008278EA" w:rsidP="002B7186">
            <w:pPr>
              <w:pStyle w:val="ListParagraph"/>
              <w:ind w:left="0"/>
              <w:jc w:val="both"/>
              <w:rPr>
                <w:rFonts w:ascii="Arial Narrow" w:hAnsi="Arial Narrow"/>
                <w:sz w:val="20"/>
                <w:szCs w:val="20"/>
              </w:rPr>
            </w:pPr>
            <w:r>
              <w:rPr>
                <w:rFonts w:ascii="Arial Narrow" w:hAnsi="Arial Narrow"/>
                <w:sz w:val="20"/>
                <w:szCs w:val="20"/>
              </w:rPr>
              <w:t>22 February 2010</w:t>
            </w:r>
          </w:p>
        </w:tc>
        <w:tc>
          <w:tcPr>
            <w:tcW w:w="1915" w:type="dxa"/>
            <w:vAlign w:val="bottom"/>
          </w:tcPr>
          <w:p w:rsidR="008278EA" w:rsidRDefault="008278EA" w:rsidP="008278EA">
            <w:pPr>
              <w:pStyle w:val="ListParagraph"/>
              <w:ind w:left="0"/>
              <w:jc w:val="right"/>
              <w:rPr>
                <w:rFonts w:ascii="Arial Narrow" w:hAnsi="Arial Narrow"/>
                <w:sz w:val="20"/>
                <w:szCs w:val="20"/>
              </w:rPr>
            </w:pPr>
            <w:r>
              <w:rPr>
                <w:rFonts w:ascii="Arial Narrow" w:hAnsi="Arial Narrow"/>
                <w:sz w:val="20"/>
                <w:szCs w:val="20"/>
              </w:rPr>
              <w:t>72,652,486</w:t>
            </w:r>
          </w:p>
        </w:tc>
        <w:tc>
          <w:tcPr>
            <w:tcW w:w="1915" w:type="dxa"/>
            <w:vAlign w:val="bottom"/>
          </w:tcPr>
          <w:p w:rsidR="008278EA" w:rsidRDefault="008278EA" w:rsidP="008278EA">
            <w:pPr>
              <w:pStyle w:val="ListParagraph"/>
              <w:ind w:left="0"/>
              <w:jc w:val="center"/>
              <w:rPr>
                <w:rFonts w:ascii="Arial Narrow" w:hAnsi="Arial Narrow"/>
                <w:sz w:val="20"/>
                <w:szCs w:val="20"/>
              </w:rPr>
            </w:pPr>
            <w:r>
              <w:rPr>
                <w:rFonts w:ascii="Arial Narrow" w:hAnsi="Arial Narrow"/>
                <w:sz w:val="20"/>
                <w:szCs w:val="20"/>
              </w:rPr>
              <w:t>0.50</w:t>
            </w:r>
          </w:p>
        </w:tc>
        <w:tc>
          <w:tcPr>
            <w:tcW w:w="1915" w:type="dxa"/>
          </w:tcPr>
          <w:p w:rsidR="008278EA" w:rsidRDefault="008278EA" w:rsidP="002B7186">
            <w:pPr>
              <w:pStyle w:val="ListParagraph"/>
              <w:ind w:left="0"/>
              <w:jc w:val="both"/>
              <w:rPr>
                <w:rFonts w:ascii="Arial Narrow" w:hAnsi="Arial Narrow"/>
                <w:sz w:val="20"/>
                <w:szCs w:val="20"/>
              </w:rPr>
            </w:pPr>
            <w:r>
              <w:rPr>
                <w:rFonts w:ascii="Arial Narrow" w:hAnsi="Arial Narrow"/>
                <w:sz w:val="20"/>
                <w:szCs w:val="20"/>
              </w:rPr>
              <w:t>Acquisition of Turbo-Mech Asia</w:t>
            </w:r>
          </w:p>
        </w:tc>
        <w:tc>
          <w:tcPr>
            <w:tcW w:w="1916" w:type="dxa"/>
            <w:vAlign w:val="bottom"/>
          </w:tcPr>
          <w:p w:rsidR="008278EA" w:rsidRDefault="008278EA" w:rsidP="008278EA">
            <w:pPr>
              <w:pStyle w:val="ListParagraph"/>
              <w:ind w:left="0"/>
              <w:jc w:val="right"/>
              <w:rPr>
                <w:rFonts w:ascii="Arial Narrow" w:hAnsi="Arial Narrow"/>
                <w:sz w:val="20"/>
                <w:szCs w:val="20"/>
              </w:rPr>
            </w:pPr>
            <w:r>
              <w:rPr>
                <w:rFonts w:ascii="Arial Narrow" w:hAnsi="Arial Narrow"/>
                <w:sz w:val="20"/>
                <w:szCs w:val="20"/>
              </w:rPr>
              <w:t>36,326,245</w:t>
            </w:r>
          </w:p>
        </w:tc>
      </w:tr>
      <w:tr w:rsidR="008278EA" w:rsidTr="008278EA">
        <w:tc>
          <w:tcPr>
            <w:tcW w:w="1915" w:type="dxa"/>
          </w:tcPr>
          <w:p w:rsidR="008278EA" w:rsidRDefault="008278EA" w:rsidP="002B7186">
            <w:pPr>
              <w:pStyle w:val="ListParagraph"/>
              <w:ind w:left="0"/>
              <w:jc w:val="both"/>
              <w:rPr>
                <w:rFonts w:ascii="Arial Narrow" w:hAnsi="Arial Narrow"/>
                <w:sz w:val="20"/>
                <w:szCs w:val="20"/>
              </w:rPr>
            </w:pPr>
            <w:r>
              <w:rPr>
                <w:rFonts w:ascii="Arial Narrow" w:hAnsi="Arial Narrow"/>
                <w:sz w:val="20"/>
                <w:szCs w:val="20"/>
              </w:rPr>
              <w:t>22 February 2010</w:t>
            </w:r>
          </w:p>
        </w:tc>
        <w:tc>
          <w:tcPr>
            <w:tcW w:w="1915" w:type="dxa"/>
            <w:vAlign w:val="bottom"/>
          </w:tcPr>
          <w:p w:rsidR="008278EA" w:rsidRDefault="008278EA" w:rsidP="008278EA">
            <w:pPr>
              <w:pStyle w:val="ListParagraph"/>
              <w:ind w:left="0"/>
              <w:jc w:val="right"/>
              <w:rPr>
                <w:rFonts w:ascii="Arial Narrow" w:hAnsi="Arial Narrow"/>
                <w:sz w:val="20"/>
                <w:szCs w:val="20"/>
              </w:rPr>
            </w:pPr>
            <w:r>
              <w:rPr>
                <w:rFonts w:ascii="Arial Narrow" w:hAnsi="Arial Narrow"/>
                <w:sz w:val="20"/>
                <w:szCs w:val="20"/>
              </w:rPr>
              <w:t>17,279,510</w:t>
            </w:r>
          </w:p>
        </w:tc>
        <w:tc>
          <w:tcPr>
            <w:tcW w:w="1915" w:type="dxa"/>
            <w:vAlign w:val="bottom"/>
          </w:tcPr>
          <w:p w:rsidR="008278EA" w:rsidRDefault="008278EA" w:rsidP="008278EA">
            <w:pPr>
              <w:pStyle w:val="ListParagraph"/>
              <w:ind w:left="0"/>
              <w:jc w:val="center"/>
              <w:rPr>
                <w:rFonts w:ascii="Arial Narrow" w:hAnsi="Arial Narrow"/>
                <w:sz w:val="20"/>
                <w:szCs w:val="20"/>
              </w:rPr>
            </w:pPr>
            <w:r>
              <w:rPr>
                <w:rFonts w:ascii="Arial Narrow" w:hAnsi="Arial Narrow"/>
                <w:sz w:val="20"/>
                <w:szCs w:val="20"/>
              </w:rPr>
              <w:t>0.50</w:t>
            </w:r>
          </w:p>
        </w:tc>
        <w:tc>
          <w:tcPr>
            <w:tcW w:w="1915" w:type="dxa"/>
          </w:tcPr>
          <w:p w:rsidR="008278EA" w:rsidRDefault="008278EA" w:rsidP="002B7186">
            <w:pPr>
              <w:pStyle w:val="ListParagraph"/>
              <w:ind w:left="0"/>
              <w:jc w:val="both"/>
              <w:rPr>
                <w:rFonts w:ascii="Arial Narrow" w:hAnsi="Arial Narrow"/>
                <w:sz w:val="20"/>
                <w:szCs w:val="20"/>
              </w:rPr>
            </w:pPr>
            <w:r>
              <w:rPr>
                <w:rFonts w:ascii="Arial Narrow" w:hAnsi="Arial Narrow"/>
                <w:sz w:val="20"/>
                <w:szCs w:val="20"/>
              </w:rPr>
              <w:t>Acquisition of Bayu Purnama</w:t>
            </w:r>
          </w:p>
        </w:tc>
        <w:tc>
          <w:tcPr>
            <w:tcW w:w="1916" w:type="dxa"/>
            <w:vAlign w:val="bottom"/>
          </w:tcPr>
          <w:p w:rsidR="008278EA" w:rsidRDefault="00FD434F" w:rsidP="008278EA">
            <w:pPr>
              <w:pStyle w:val="ListParagraph"/>
              <w:ind w:left="0"/>
              <w:jc w:val="right"/>
              <w:rPr>
                <w:rFonts w:ascii="Arial Narrow" w:hAnsi="Arial Narrow"/>
                <w:sz w:val="20"/>
                <w:szCs w:val="20"/>
              </w:rPr>
            </w:pPr>
            <w:r>
              <w:rPr>
                <w:rFonts w:ascii="Arial Narrow" w:hAnsi="Arial Narrow"/>
                <w:sz w:val="20"/>
                <w:szCs w:val="20"/>
              </w:rPr>
              <w:t>44,966,000</w:t>
            </w:r>
          </w:p>
        </w:tc>
      </w:tr>
      <w:tr w:rsidR="009C216A" w:rsidTr="008278EA">
        <w:tc>
          <w:tcPr>
            <w:tcW w:w="1915" w:type="dxa"/>
          </w:tcPr>
          <w:p w:rsidR="009C216A" w:rsidRDefault="00FD434F" w:rsidP="002B7186">
            <w:pPr>
              <w:pStyle w:val="ListParagraph"/>
              <w:ind w:left="0"/>
              <w:jc w:val="both"/>
              <w:rPr>
                <w:rFonts w:ascii="Arial Narrow" w:hAnsi="Arial Narrow"/>
                <w:sz w:val="20"/>
                <w:szCs w:val="20"/>
              </w:rPr>
            </w:pPr>
            <w:r>
              <w:rPr>
                <w:rFonts w:ascii="Arial Narrow" w:hAnsi="Arial Narrow"/>
                <w:sz w:val="20"/>
                <w:szCs w:val="20"/>
              </w:rPr>
              <w:t>30 April 2010</w:t>
            </w:r>
          </w:p>
        </w:tc>
        <w:tc>
          <w:tcPr>
            <w:tcW w:w="1915" w:type="dxa"/>
            <w:vAlign w:val="bottom"/>
          </w:tcPr>
          <w:p w:rsidR="009C216A" w:rsidRDefault="00FD434F" w:rsidP="008278EA">
            <w:pPr>
              <w:pStyle w:val="ListParagraph"/>
              <w:ind w:left="0"/>
              <w:jc w:val="right"/>
              <w:rPr>
                <w:rFonts w:ascii="Arial Narrow" w:hAnsi="Arial Narrow"/>
                <w:sz w:val="20"/>
                <w:szCs w:val="20"/>
              </w:rPr>
            </w:pPr>
            <w:r>
              <w:rPr>
                <w:rFonts w:ascii="Arial Narrow" w:hAnsi="Arial Narrow"/>
                <w:sz w:val="20"/>
                <w:szCs w:val="20"/>
              </w:rPr>
              <w:t>18,068,000</w:t>
            </w:r>
          </w:p>
        </w:tc>
        <w:tc>
          <w:tcPr>
            <w:tcW w:w="1915" w:type="dxa"/>
            <w:vAlign w:val="bottom"/>
          </w:tcPr>
          <w:p w:rsidR="009C216A" w:rsidRDefault="00FD434F" w:rsidP="008278EA">
            <w:pPr>
              <w:pStyle w:val="ListParagraph"/>
              <w:ind w:left="0"/>
              <w:jc w:val="center"/>
              <w:rPr>
                <w:rFonts w:ascii="Arial Narrow" w:hAnsi="Arial Narrow"/>
                <w:sz w:val="20"/>
                <w:szCs w:val="20"/>
              </w:rPr>
            </w:pPr>
            <w:r>
              <w:rPr>
                <w:rFonts w:ascii="Arial Narrow" w:hAnsi="Arial Narrow"/>
                <w:sz w:val="20"/>
                <w:szCs w:val="20"/>
              </w:rPr>
              <w:t>0.50</w:t>
            </w:r>
          </w:p>
        </w:tc>
        <w:tc>
          <w:tcPr>
            <w:tcW w:w="1915" w:type="dxa"/>
          </w:tcPr>
          <w:p w:rsidR="009C216A" w:rsidRDefault="00D97BCE" w:rsidP="00637918">
            <w:pPr>
              <w:pStyle w:val="ListParagraph"/>
              <w:ind w:left="0"/>
              <w:jc w:val="both"/>
              <w:rPr>
                <w:rFonts w:ascii="Arial Narrow" w:hAnsi="Arial Narrow"/>
                <w:sz w:val="20"/>
                <w:szCs w:val="20"/>
              </w:rPr>
            </w:pPr>
            <w:r>
              <w:rPr>
                <w:rFonts w:ascii="Arial Narrow" w:hAnsi="Arial Narrow"/>
                <w:sz w:val="20"/>
                <w:szCs w:val="20"/>
              </w:rPr>
              <w:t>Issue price of RM0.63 per share</w:t>
            </w:r>
          </w:p>
        </w:tc>
        <w:tc>
          <w:tcPr>
            <w:tcW w:w="1916" w:type="dxa"/>
            <w:vAlign w:val="bottom"/>
          </w:tcPr>
          <w:p w:rsidR="009C216A" w:rsidRDefault="00FD434F" w:rsidP="00FD434F">
            <w:pPr>
              <w:pStyle w:val="ListParagraph"/>
              <w:ind w:left="0"/>
              <w:jc w:val="right"/>
              <w:rPr>
                <w:rFonts w:ascii="Arial Narrow" w:hAnsi="Arial Narrow"/>
                <w:sz w:val="20"/>
                <w:szCs w:val="20"/>
              </w:rPr>
            </w:pPr>
            <w:r>
              <w:rPr>
                <w:rFonts w:ascii="Arial Narrow" w:hAnsi="Arial Narrow"/>
                <w:sz w:val="20"/>
                <w:szCs w:val="20"/>
              </w:rPr>
              <w:t>54,000,000</w:t>
            </w:r>
          </w:p>
        </w:tc>
      </w:tr>
    </w:tbl>
    <w:p w:rsidR="002B7186" w:rsidRDefault="002B7186" w:rsidP="0068716E">
      <w:pPr>
        <w:spacing w:after="0"/>
        <w:ind w:left="1440"/>
        <w:jc w:val="both"/>
        <w:rPr>
          <w:rFonts w:ascii="Arial Narrow" w:hAnsi="Arial Narrow"/>
          <w:sz w:val="20"/>
          <w:szCs w:val="20"/>
        </w:rPr>
      </w:pPr>
    </w:p>
    <w:p w:rsidR="00ED552F" w:rsidRDefault="00ED552F" w:rsidP="00ED552F">
      <w:pPr>
        <w:pStyle w:val="ListParagraph"/>
        <w:spacing w:after="0"/>
        <w:jc w:val="both"/>
        <w:rPr>
          <w:rFonts w:ascii="Arial Narrow" w:hAnsi="Arial Narrow"/>
          <w:sz w:val="20"/>
          <w:szCs w:val="20"/>
        </w:rPr>
      </w:pPr>
      <w:r>
        <w:rPr>
          <w:rFonts w:ascii="Arial Narrow" w:hAnsi="Arial Narrow"/>
          <w:sz w:val="20"/>
          <w:szCs w:val="20"/>
        </w:rPr>
        <w:t>The details of the IPO as disclosed in the prospectus dated 13 April 2010 are as follows:</w:t>
      </w:r>
    </w:p>
    <w:p w:rsidR="00ED552F" w:rsidRDefault="00ED552F" w:rsidP="00ED552F">
      <w:pPr>
        <w:pStyle w:val="ListParagraph"/>
        <w:spacing w:after="0"/>
        <w:jc w:val="both"/>
        <w:rPr>
          <w:rFonts w:ascii="Arial Narrow" w:hAnsi="Arial Narrow"/>
          <w:sz w:val="20"/>
          <w:szCs w:val="20"/>
        </w:rPr>
      </w:pPr>
    </w:p>
    <w:p w:rsidR="00ED552F" w:rsidRPr="00AF6798" w:rsidRDefault="00ED552F" w:rsidP="00ED552F">
      <w:pPr>
        <w:pStyle w:val="ListParagraph"/>
        <w:numPr>
          <w:ilvl w:val="0"/>
          <w:numId w:val="2"/>
        </w:numPr>
        <w:spacing w:after="0"/>
        <w:jc w:val="both"/>
        <w:rPr>
          <w:rFonts w:ascii="Arial Narrow" w:hAnsi="Arial Narrow"/>
          <w:b/>
          <w:i/>
          <w:sz w:val="20"/>
          <w:szCs w:val="20"/>
        </w:rPr>
      </w:pPr>
      <w:r w:rsidRPr="00AF6798">
        <w:rPr>
          <w:rFonts w:ascii="Arial Narrow" w:hAnsi="Arial Narrow"/>
          <w:b/>
          <w:i/>
          <w:sz w:val="20"/>
          <w:szCs w:val="20"/>
        </w:rPr>
        <w:t>Malaysian public via balloting.</w:t>
      </w:r>
    </w:p>
    <w:p w:rsidR="00ED552F" w:rsidRDefault="00ED552F" w:rsidP="00ED552F">
      <w:pPr>
        <w:spacing w:after="0"/>
        <w:ind w:left="1440"/>
        <w:jc w:val="both"/>
        <w:rPr>
          <w:rFonts w:ascii="Arial Narrow" w:hAnsi="Arial Narrow"/>
          <w:sz w:val="20"/>
          <w:szCs w:val="20"/>
        </w:rPr>
      </w:pPr>
    </w:p>
    <w:p w:rsidR="00ED552F" w:rsidRDefault="00ED552F" w:rsidP="00ED552F">
      <w:pPr>
        <w:spacing w:after="0"/>
        <w:ind w:left="1440"/>
        <w:jc w:val="both"/>
        <w:rPr>
          <w:rFonts w:ascii="Arial Narrow" w:hAnsi="Arial Narrow"/>
          <w:sz w:val="20"/>
          <w:szCs w:val="20"/>
        </w:rPr>
      </w:pPr>
      <w:r>
        <w:rPr>
          <w:rFonts w:ascii="Arial Narrow" w:hAnsi="Arial Narrow"/>
          <w:sz w:val="20"/>
          <w:szCs w:val="20"/>
        </w:rPr>
        <w:t>6,000,000 Public Issue Shares, representing approximately 5.5% of the enlarged issued and paid-up share capital of Turbo-Mech Berhad, to be allocated via balloting, will be made available for application by the Malaysian public.</w:t>
      </w:r>
    </w:p>
    <w:p w:rsidR="00ED552F" w:rsidRDefault="00ED552F" w:rsidP="00ED552F">
      <w:pPr>
        <w:spacing w:after="0"/>
        <w:jc w:val="both"/>
        <w:rPr>
          <w:rFonts w:ascii="Arial Narrow" w:hAnsi="Arial Narrow"/>
          <w:sz w:val="20"/>
          <w:szCs w:val="20"/>
        </w:rPr>
      </w:pPr>
    </w:p>
    <w:p w:rsidR="00ED552F" w:rsidRPr="00AF6798" w:rsidRDefault="00ED552F" w:rsidP="00ED552F">
      <w:pPr>
        <w:pStyle w:val="ListParagraph"/>
        <w:numPr>
          <w:ilvl w:val="0"/>
          <w:numId w:val="2"/>
        </w:numPr>
        <w:spacing w:after="0"/>
        <w:jc w:val="both"/>
        <w:rPr>
          <w:rFonts w:ascii="Arial Narrow" w:hAnsi="Arial Narrow"/>
          <w:b/>
          <w:i/>
          <w:sz w:val="20"/>
          <w:szCs w:val="20"/>
        </w:rPr>
      </w:pPr>
      <w:r w:rsidRPr="00AF6798">
        <w:rPr>
          <w:rFonts w:ascii="Arial Narrow" w:hAnsi="Arial Narrow"/>
          <w:b/>
          <w:i/>
          <w:sz w:val="20"/>
          <w:szCs w:val="20"/>
        </w:rPr>
        <w:t>Eligible Directors, employees and business associated of the Group.</w:t>
      </w:r>
    </w:p>
    <w:p w:rsidR="00ED552F" w:rsidRDefault="00ED552F" w:rsidP="00ED552F">
      <w:pPr>
        <w:spacing w:after="0"/>
        <w:ind w:left="1440"/>
        <w:jc w:val="both"/>
        <w:rPr>
          <w:rFonts w:ascii="Arial Narrow" w:hAnsi="Arial Narrow"/>
          <w:sz w:val="20"/>
          <w:szCs w:val="20"/>
        </w:rPr>
      </w:pPr>
    </w:p>
    <w:p w:rsidR="00ED552F" w:rsidRDefault="00ED552F" w:rsidP="00ED552F">
      <w:pPr>
        <w:spacing w:after="0"/>
        <w:ind w:left="1440"/>
        <w:jc w:val="both"/>
        <w:rPr>
          <w:rFonts w:ascii="Arial Narrow" w:hAnsi="Arial Narrow"/>
          <w:sz w:val="20"/>
          <w:szCs w:val="20"/>
        </w:rPr>
      </w:pPr>
      <w:r>
        <w:rPr>
          <w:rFonts w:ascii="Arial Narrow" w:hAnsi="Arial Narrow"/>
          <w:sz w:val="20"/>
          <w:szCs w:val="20"/>
        </w:rPr>
        <w:t>4,500,000 Public Issue Shares, representing approximately 4.2% of the enlarged issued and paid-up share capital of Turbo-Mech Berhad, will be made available for application by eligible Directors, employees and business associates of the Group.</w:t>
      </w:r>
    </w:p>
    <w:p w:rsidR="00ED552F" w:rsidRDefault="00ED552F" w:rsidP="00ED552F">
      <w:pPr>
        <w:spacing w:after="0"/>
        <w:jc w:val="both"/>
        <w:rPr>
          <w:rFonts w:ascii="Arial Narrow" w:hAnsi="Arial Narrow"/>
          <w:sz w:val="20"/>
          <w:szCs w:val="20"/>
        </w:rPr>
      </w:pPr>
    </w:p>
    <w:p w:rsidR="00ED552F" w:rsidRPr="00AF6798" w:rsidRDefault="00ED552F" w:rsidP="00ED552F">
      <w:pPr>
        <w:pStyle w:val="ListParagraph"/>
        <w:numPr>
          <w:ilvl w:val="0"/>
          <w:numId w:val="2"/>
        </w:numPr>
        <w:spacing w:after="0"/>
        <w:jc w:val="both"/>
        <w:rPr>
          <w:rFonts w:ascii="Arial Narrow" w:hAnsi="Arial Narrow"/>
          <w:b/>
          <w:i/>
          <w:sz w:val="20"/>
          <w:szCs w:val="20"/>
        </w:rPr>
      </w:pPr>
      <w:r w:rsidRPr="00AF6798">
        <w:rPr>
          <w:rFonts w:ascii="Arial Narrow" w:hAnsi="Arial Narrow"/>
          <w:b/>
          <w:i/>
          <w:sz w:val="20"/>
          <w:szCs w:val="20"/>
        </w:rPr>
        <w:t>Selected investors via placement.</w:t>
      </w:r>
    </w:p>
    <w:p w:rsidR="00ED552F" w:rsidRDefault="00ED552F" w:rsidP="00ED552F">
      <w:pPr>
        <w:spacing w:after="0"/>
        <w:jc w:val="both"/>
        <w:rPr>
          <w:rFonts w:ascii="Arial Narrow" w:hAnsi="Arial Narrow"/>
          <w:sz w:val="20"/>
          <w:szCs w:val="20"/>
        </w:rPr>
      </w:pPr>
    </w:p>
    <w:p w:rsidR="00637918" w:rsidRDefault="00ED552F" w:rsidP="00ED552F">
      <w:pPr>
        <w:spacing w:after="0"/>
        <w:ind w:left="1440"/>
        <w:jc w:val="both"/>
        <w:rPr>
          <w:rFonts w:ascii="Arial Narrow" w:hAnsi="Arial Narrow"/>
          <w:sz w:val="20"/>
          <w:szCs w:val="20"/>
        </w:rPr>
      </w:pPr>
      <w:r>
        <w:rPr>
          <w:rFonts w:ascii="Arial Narrow" w:hAnsi="Arial Narrow"/>
          <w:sz w:val="20"/>
          <w:szCs w:val="20"/>
        </w:rPr>
        <w:t>7,5</w:t>
      </w:r>
      <w:r w:rsidR="00E63204">
        <w:rPr>
          <w:rFonts w:ascii="Arial Narrow" w:hAnsi="Arial Narrow"/>
          <w:sz w:val="20"/>
          <w:szCs w:val="20"/>
        </w:rPr>
        <w:t>68</w:t>
      </w:r>
      <w:r>
        <w:rPr>
          <w:rFonts w:ascii="Arial Narrow" w:hAnsi="Arial Narrow"/>
          <w:sz w:val="20"/>
          <w:szCs w:val="20"/>
        </w:rPr>
        <w:t>,000 Public Issue Shares, representing approximately 7.0% of the enlarged issued and paid-up share capital of Turbo-Mech Berhad, by way of private placement to selected investors</w:t>
      </w:r>
    </w:p>
    <w:p w:rsidR="00ED552F" w:rsidRDefault="00ED552F" w:rsidP="0068716E">
      <w:pPr>
        <w:spacing w:after="0"/>
        <w:ind w:left="1440"/>
        <w:jc w:val="both"/>
        <w:rPr>
          <w:rFonts w:ascii="Arial Narrow" w:hAnsi="Arial Narrow"/>
          <w:sz w:val="20"/>
          <w:szCs w:val="20"/>
        </w:rPr>
      </w:pPr>
    </w:p>
    <w:p w:rsidR="00ED552F" w:rsidRDefault="00ED552F" w:rsidP="0068716E">
      <w:pPr>
        <w:spacing w:after="0"/>
        <w:ind w:left="1440"/>
        <w:jc w:val="both"/>
        <w:rPr>
          <w:rFonts w:ascii="Arial Narrow" w:hAnsi="Arial Narrow"/>
          <w:sz w:val="20"/>
          <w:szCs w:val="20"/>
        </w:rPr>
      </w:pPr>
    </w:p>
    <w:p w:rsidR="00ED552F" w:rsidRDefault="00ED552F" w:rsidP="00ED552F">
      <w:pPr>
        <w:pStyle w:val="ListParagraph"/>
        <w:spacing w:after="0"/>
        <w:jc w:val="both"/>
        <w:rPr>
          <w:rFonts w:ascii="Arial Narrow" w:hAnsi="Arial Narrow"/>
          <w:b/>
          <w:sz w:val="20"/>
          <w:szCs w:val="20"/>
        </w:rPr>
      </w:pPr>
    </w:p>
    <w:p w:rsidR="00ED552F" w:rsidRPr="00AF6798" w:rsidRDefault="00ED552F" w:rsidP="00ED552F">
      <w:pPr>
        <w:spacing w:after="0"/>
        <w:rPr>
          <w:rFonts w:ascii="Arial Narrow" w:hAnsi="Arial Narrow" w:cs="Arial"/>
          <w:b/>
          <w:sz w:val="20"/>
          <w:szCs w:val="20"/>
        </w:rPr>
      </w:pPr>
      <w:r>
        <w:rPr>
          <w:rFonts w:ascii="Arial Narrow" w:hAnsi="Arial Narrow" w:cs="Arial"/>
          <w:b/>
          <w:sz w:val="20"/>
          <w:szCs w:val="20"/>
        </w:rPr>
        <w:t>T</w:t>
      </w:r>
      <w:r w:rsidRPr="00AF6798">
        <w:rPr>
          <w:rFonts w:ascii="Arial Narrow" w:hAnsi="Arial Narrow" w:cs="Arial"/>
          <w:b/>
          <w:sz w:val="20"/>
          <w:szCs w:val="20"/>
        </w:rPr>
        <w:t>URBO-MECH BERHAD (863263-D)</w:t>
      </w:r>
    </w:p>
    <w:p w:rsidR="00ED552F" w:rsidRPr="00AF6798" w:rsidRDefault="00ED552F" w:rsidP="00ED552F">
      <w:pPr>
        <w:spacing w:after="0"/>
        <w:rPr>
          <w:rFonts w:ascii="Arial Narrow" w:hAnsi="Arial Narrow" w:cs="Arial"/>
          <w:b/>
          <w:sz w:val="20"/>
          <w:szCs w:val="20"/>
        </w:rPr>
      </w:pPr>
      <w:r w:rsidRPr="00AF6798">
        <w:rPr>
          <w:rFonts w:ascii="Arial Narrow" w:hAnsi="Arial Narrow" w:cs="Arial"/>
          <w:b/>
          <w:sz w:val="20"/>
          <w:szCs w:val="20"/>
        </w:rPr>
        <w:t xml:space="preserve">INTERIM FINANCIAL REPORT FOR THE </w:t>
      </w:r>
      <w:r w:rsidR="00723268">
        <w:rPr>
          <w:rFonts w:ascii="Arial Narrow" w:hAnsi="Arial Narrow" w:cs="Arial"/>
          <w:b/>
          <w:sz w:val="20"/>
          <w:szCs w:val="20"/>
        </w:rPr>
        <w:t>SECOND</w:t>
      </w:r>
      <w:r w:rsidRPr="00AF6798">
        <w:rPr>
          <w:rFonts w:ascii="Arial Narrow" w:hAnsi="Arial Narrow" w:cs="Arial"/>
          <w:b/>
          <w:sz w:val="20"/>
          <w:szCs w:val="20"/>
        </w:rPr>
        <w:t xml:space="preserve"> QUARTER ENDED 3</w:t>
      </w:r>
      <w:r>
        <w:rPr>
          <w:rFonts w:ascii="Arial Narrow" w:hAnsi="Arial Narrow" w:cs="Arial"/>
          <w:b/>
          <w:sz w:val="20"/>
          <w:szCs w:val="20"/>
        </w:rPr>
        <w:t>0</w:t>
      </w:r>
      <w:r w:rsidRPr="00AF6798">
        <w:rPr>
          <w:rFonts w:ascii="Arial Narrow" w:hAnsi="Arial Narrow" w:cs="Arial"/>
          <w:b/>
          <w:sz w:val="20"/>
          <w:szCs w:val="20"/>
        </w:rPr>
        <w:t xml:space="preserve"> </w:t>
      </w:r>
      <w:r>
        <w:rPr>
          <w:rFonts w:ascii="Arial Narrow" w:hAnsi="Arial Narrow" w:cs="Arial"/>
          <w:b/>
          <w:sz w:val="20"/>
          <w:szCs w:val="20"/>
        </w:rPr>
        <w:t xml:space="preserve">JUNE </w:t>
      </w:r>
      <w:r w:rsidRPr="00AF6798">
        <w:rPr>
          <w:rFonts w:ascii="Arial Narrow" w:hAnsi="Arial Narrow" w:cs="Arial"/>
          <w:b/>
          <w:sz w:val="20"/>
          <w:szCs w:val="20"/>
        </w:rPr>
        <w:t>2010</w:t>
      </w:r>
    </w:p>
    <w:p w:rsidR="00ED552F" w:rsidRPr="00AF6798" w:rsidRDefault="00ED552F" w:rsidP="00ED552F">
      <w:pPr>
        <w:spacing w:after="0"/>
        <w:rPr>
          <w:rFonts w:ascii="Arial Narrow" w:hAnsi="Arial Narrow"/>
          <w:b/>
          <w:sz w:val="20"/>
          <w:szCs w:val="20"/>
        </w:rPr>
      </w:pPr>
    </w:p>
    <w:p w:rsidR="00ED552F" w:rsidRDefault="00ED552F" w:rsidP="00ED552F">
      <w:pPr>
        <w:spacing w:after="0"/>
        <w:rPr>
          <w:rFonts w:ascii="Arial Narrow" w:hAnsi="Arial Narrow"/>
          <w:b/>
          <w:sz w:val="20"/>
          <w:szCs w:val="20"/>
        </w:rPr>
      </w:pPr>
      <w:r>
        <w:rPr>
          <w:rFonts w:ascii="Arial Narrow" w:hAnsi="Arial Narrow"/>
          <w:b/>
          <w:sz w:val="20"/>
          <w:szCs w:val="20"/>
        </w:rPr>
        <w:t>EXPLANATORY NOTES IN COMPLIANCE WITH FINANCIAL REPORTING STANDARDS (“FRS”) 134</w:t>
      </w:r>
      <w:r w:rsidRPr="00AF6798">
        <w:rPr>
          <w:rFonts w:ascii="Arial Narrow" w:hAnsi="Arial Narrow"/>
          <w:b/>
          <w:sz w:val="20"/>
          <w:szCs w:val="20"/>
        </w:rPr>
        <w:t xml:space="preserve"> INTERIM FINANCIAL REPORT</w:t>
      </w:r>
      <w:r>
        <w:rPr>
          <w:rFonts w:ascii="Arial Narrow" w:hAnsi="Arial Narrow"/>
          <w:b/>
          <w:sz w:val="20"/>
          <w:szCs w:val="20"/>
        </w:rPr>
        <w:t xml:space="preserve"> (CONT’D)</w:t>
      </w:r>
    </w:p>
    <w:p w:rsidR="00ED552F" w:rsidRDefault="00ED552F" w:rsidP="00ED552F">
      <w:pPr>
        <w:spacing w:after="0"/>
        <w:rPr>
          <w:rFonts w:ascii="Arial Narrow" w:hAnsi="Arial Narrow"/>
          <w:b/>
          <w:sz w:val="20"/>
          <w:szCs w:val="20"/>
        </w:rPr>
      </w:pPr>
    </w:p>
    <w:p w:rsidR="00ED552F" w:rsidRDefault="00ED552F" w:rsidP="0068716E">
      <w:pPr>
        <w:spacing w:after="0"/>
        <w:ind w:left="1440"/>
        <w:jc w:val="both"/>
        <w:rPr>
          <w:rFonts w:ascii="Arial Narrow" w:hAnsi="Arial Narrow"/>
          <w:sz w:val="20"/>
          <w:szCs w:val="20"/>
        </w:rPr>
      </w:pPr>
    </w:p>
    <w:p w:rsidR="002B7186" w:rsidRPr="009604D3" w:rsidRDefault="002B7186" w:rsidP="002B7186">
      <w:pPr>
        <w:spacing w:after="0"/>
        <w:ind w:left="360"/>
        <w:jc w:val="both"/>
        <w:rPr>
          <w:rFonts w:ascii="Arial Narrow" w:hAnsi="Arial Narrow"/>
          <w:b/>
          <w:sz w:val="20"/>
          <w:szCs w:val="20"/>
        </w:rPr>
      </w:pPr>
      <w:r>
        <w:rPr>
          <w:rFonts w:ascii="Arial Narrow" w:hAnsi="Arial Narrow"/>
          <w:b/>
          <w:sz w:val="20"/>
          <w:szCs w:val="20"/>
        </w:rPr>
        <w:t>A9.</w:t>
      </w:r>
      <w:r>
        <w:rPr>
          <w:rFonts w:ascii="Arial Narrow" w:hAnsi="Arial Narrow"/>
          <w:b/>
          <w:sz w:val="20"/>
          <w:szCs w:val="20"/>
        </w:rPr>
        <w:tab/>
      </w:r>
      <w:r w:rsidRPr="009604D3">
        <w:rPr>
          <w:rFonts w:ascii="Arial Narrow" w:hAnsi="Arial Narrow"/>
          <w:b/>
          <w:sz w:val="20"/>
          <w:szCs w:val="20"/>
        </w:rPr>
        <w:t>Dividends</w:t>
      </w:r>
    </w:p>
    <w:p w:rsidR="002B7186" w:rsidRDefault="002B7186" w:rsidP="002B7186">
      <w:pPr>
        <w:spacing w:after="0"/>
        <w:ind w:left="720"/>
        <w:jc w:val="both"/>
        <w:rPr>
          <w:rFonts w:ascii="Arial Narrow" w:hAnsi="Arial Narrow"/>
          <w:sz w:val="20"/>
          <w:szCs w:val="20"/>
        </w:rPr>
      </w:pPr>
    </w:p>
    <w:p w:rsidR="002B7186" w:rsidRDefault="002B7186" w:rsidP="002B7186">
      <w:pPr>
        <w:spacing w:after="0"/>
        <w:ind w:left="720"/>
        <w:jc w:val="both"/>
        <w:rPr>
          <w:rFonts w:ascii="Arial Narrow" w:hAnsi="Arial Narrow"/>
          <w:sz w:val="20"/>
          <w:szCs w:val="20"/>
        </w:rPr>
      </w:pPr>
      <w:r>
        <w:rPr>
          <w:rFonts w:ascii="Arial Narrow" w:hAnsi="Arial Narrow"/>
          <w:sz w:val="20"/>
          <w:szCs w:val="20"/>
        </w:rPr>
        <w:t>There was no dividend paid during the financial quarter under review.</w:t>
      </w:r>
    </w:p>
    <w:p w:rsidR="002B7186" w:rsidRDefault="002B7186" w:rsidP="0068716E">
      <w:pPr>
        <w:spacing w:after="0"/>
        <w:ind w:left="1440"/>
        <w:jc w:val="both"/>
        <w:rPr>
          <w:rFonts w:ascii="Arial Narrow" w:hAnsi="Arial Narrow"/>
          <w:sz w:val="20"/>
          <w:szCs w:val="20"/>
        </w:rPr>
      </w:pPr>
    </w:p>
    <w:p w:rsidR="00CD0046" w:rsidRDefault="00CD0046" w:rsidP="00CD0046">
      <w:pPr>
        <w:spacing w:after="0"/>
        <w:jc w:val="both"/>
        <w:rPr>
          <w:rFonts w:ascii="Arial Narrow" w:hAnsi="Arial Narrow"/>
          <w:b/>
          <w:sz w:val="20"/>
          <w:szCs w:val="20"/>
        </w:rPr>
      </w:pPr>
      <w:r>
        <w:rPr>
          <w:rFonts w:ascii="Arial Narrow" w:hAnsi="Arial Narrow"/>
          <w:b/>
          <w:sz w:val="20"/>
          <w:szCs w:val="20"/>
        </w:rPr>
        <w:t xml:space="preserve">      </w:t>
      </w:r>
      <w:r w:rsidRPr="00D14458">
        <w:rPr>
          <w:rFonts w:ascii="Arial Narrow" w:hAnsi="Arial Narrow"/>
          <w:b/>
          <w:sz w:val="20"/>
          <w:szCs w:val="20"/>
        </w:rPr>
        <w:t>A10.</w:t>
      </w:r>
      <w:r>
        <w:rPr>
          <w:rFonts w:ascii="Arial Narrow" w:hAnsi="Arial Narrow"/>
          <w:b/>
          <w:sz w:val="20"/>
          <w:szCs w:val="20"/>
        </w:rPr>
        <w:tab/>
      </w:r>
      <w:r w:rsidR="00CE195D">
        <w:rPr>
          <w:rFonts w:ascii="Arial Narrow" w:hAnsi="Arial Narrow"/>
          <w:b/>
          <w:sz w:val="20"/>
          <w:szCs w:val="20"/>
        </w:rPr>
        <w:t>Operating se</w:t>
      </w:r>
      <w:r w:rsidRPr="00D14458">
        <w:rPr>
          <w:rFonts w:ascii="Arial Narrow" w:hAnsi="Arial Narrow"/>
          <w:b/>
          <w:sz w:val="20"/>
          <w:szCs w:val="20"/>
        </w:rPr>
        <w:t>gment</w:t>
      </w:r>
    </w:p>
    <w:p w:rsidR="00CD0046" w:rsidRDefault="00CD0046" w:rsidP="00CD0046">
      <w:pPr>
        <w:spacing w:after="0"/>
        <w:jc w:val="both"/>
        <w:rPr>
          <w:rFonts w:ascii="Arial Narrow" w:hAnsi="Arial Narrow"/>
          <w:b/>
          <w:sz w:val="20"/>
          <w:szCs w:val="20"/>
        </w:rPr>
      </w:pPr>
    </w:p>
    <w:p w:rsidR="00CD0046" w:rsidRDefault="00CD0046" w:rsidP="00CE195D">
      <w:pPr>
        <w:spacing w:after="0"/>
        <w:ind w:left="720"/>
        <w:jc w:val="both"/>
        <w:rPr>
          <w:rFonts w:ascii="Arial Narrow" w:hAnsi="Arial Narrow"/>
          <w:sz w:val="20"/>
          <w:szCs w:val="20"/>
        </w:rPr>
      </w:pPr>
      <w:r>
        <w:rPr>
          <w:rFonts w:ascii="Arial Narrow" w:hAnsi="Arial Narrow"/>
          <w:sz w:val="20"/>
          <w:szCs w:val="20"/>
        </w:rPr>
        <w:t>Segmental</w:t>
      </w:r>
      <w:r w:rsidR="00CE195D">
        <w:rPr>
          <w:rFonts w:ascii="Arial Narrow" w:hAnsi="Arial Narrow"/>
          <w:sz w:val="20"/>
          <w:szCs w:val="20"/>
        </w:rPr>
        <w:t xml:space="preserve"> information is presented in respect of the Group’s geographical segments, which is based on the Company’s management reporting structure.  </w:t>
      </w:r>
    </w:p>
    <w:p w:rsidR="004D0CE9" w:rsidRDefault="004D0CE9" w:rsidP="00CE195D">
      <w:pPr>
        <w:spacing w:after="0"/>
        <w:ind w:left="720"/>
        <w:jc w:val="both"/>
        <w:rPr>
          <w:rFonts w:ascii="Arial Narrow" w:hAnsi="Arial Narrow"/>
          <w:sz w:val="20"/>
          <w:szCs w:val="20"/>
        </w:rPr>
      </w:pPr>
    </w:p>
    <w:p w:rsidR="004D0CE9" w:rsidRDefault="004D0CE9" w:rsidP="00CE195D">
      <w:pPr>
        <w:spacing w:after="0"/>
        <w:ind w:left="720"/>
        <w:jc w:val="both"/>
        <w:rPr>
          <w:rFonts w:ascii="Arial Narrow" w:hAnsi="Arial Narrow"/>
          <w:sz w:val="20"/>
          <w:szCs w:val="20"/>
        </w:rPr>
      </w:pPr>
      <w:r>
        <w:rPr>
          <w:rFonts w:ascii="Arial Narrow" w:hAnsi="Arial Narrow"/>
          <w:sz w:val="20"/>
          <w:szCs w:val="20"/>
        </w:rPr>
        <w:t xml:space="preserve">Transfer prices between the operating segments are on an arm’s length basis in a manner similar to transactions with third parties. </w:t>
      </w:r>
    </w:p>
    <w:p w:rsidR="004D0CE9" w:rsidRDefault="004D0CE9" w:rsidP="00CE195D">
      <w:pPr>
        <w:spacing w:after="0"/>
        <w:ind w:left="720"/>
        <w:jc w:val="both"/>
        <w:rPr>
          <w:rFonts w:ascii="Arial Narrow" w:hAnsi="Arial Narrow"/>
          <w:sz w:val="20"/>
          <w:szCs w:val="20"/>
        </w:rPr>
      </w:pPr>
    </w:p>
    <w:tbl>
      <w:tblPr>
        <w:tblStyle w:val="TableGrid"/>
        <w:tblW w:w="0" w:type="auto"/>
        <w:tblInd w:w="720" w:type="dxa"/>
        <w:tblLayout w:type="fixed"/>
        <w:tblLook w:val="04A0"/>
      </w:tblPr>
      <w:tblGrid>
        <w:gridCol w:w="2268"/>
        <w:gridCol w:w="1287"/>
        <w:gridCol w:w="1287"/>
        <w:gridCol w:w="1287"/>
        <w:gridCol w:w="1287"/>
      </w:tblGrid>
      <w:tr w:rsidR="00D161F5" w:rsidTr="00511531">
        <w:trPr>
          <w:trHeight w:val="64"/>
        </w:trPr>
        <w:tc>
          <w:tcPr>
            <w:tcW w:w="2268" w:type="dxa"/>
          </w:tcPr>
          <w:p w:rsidR="00D161F5" w:rsidRDefault="00D161F5" w:rsidP="00CE195D">
            <w:pPr>
              <w:jc w:val="both"/>
              <w:rPr>
                <w:rFonts w:ascii="Arial Narrow" w:hAnsi="Arial Narrow"/>
                <w:sz w:val="20"/>
                <w:szCs w:val="20"/>
              </w:rPr>
            </w:pPr>
          </w:p>
        </w:tc>
        <w:tc>
          <w:tcPr>
            <w:tcW w:w="1287" w:type="dxa"/>
          </w:tcPr>
          <w:p w:rsidR="00D161F5" w:rsidRPr="00D161F5" w:rsidRDefault="00D161F5" w:rsidP="00D161F5">
            <w:pPr>
              <w:jc w:val="center"/>
              <w:rPr>
                <w:rFonts w:ascii="Arial Narrow" w:hAnsi="Arial Narrow"/>
                <w:b/>
                <w:sz w:val="20"/>
                <w:szCs w:val="20"/>
              </w:rPr>
            </w:pPr>
            <w:r w:rsidRPr="00D161F5">
              <w:rPr>
                <w:rFonts w:ascii="Arial Narrow" w:hAnsi="Arial Narrow"/>
                <w:b/>
                <w:sz w:val="20"/>
                <w:szCs w:val="20"/>
              </w:rPr>
              <w:t>Singapore</w:t>
            </w:r>
          </w:p>
        </w:tc>
        <w:tc>
          <w:tcPr>
            <w:tcW w:w="1287" w:type="dxa"/>
          </w:tcPr>
          <w:p w:rsidR="00D161F5" w:rsidRPr="00D161F5" w:rsidRDefault="00D161F5" w:rsidP="00D161F5">
            <w:pPr>
              <w:jc w:val="center"/>
              <w:rPr>
                <w:rFonts w:ascii="Arial Narrow" w:hAnsi="Arial Narrow"/>
                <w:b/>
                <w:sz w:val="20"/>
                <w:szCs w:val="20"/>
              </w:rPr>
            </w:pPr>
            <w:r w:rsidRPr="00D161F5">
              <w:rPr>
                <w:rFonts w:ascii="Arial Narrow" w:hAnsi="Arial Narrow"/>
                <w:b/>
                <w:sz w:val="20"/>
                <w:szCs w:val="20"/>
              </w:rPr>
              <w:t>Others</w:t>
            </w:r>
          </w:p>
        </w:tc>
        <w:tc>
          <w:tcPr>
            <w:tcW w:w="1287" w:type="dxa"/>
          </w:tcPr>
          <w:p w:rsidR="00D161F5" w:rsidRPr="00D161F5" w:rsidRDefault="00D161F5" w:rsidP="00D161F5">
            <w:pPr>
              <w:jc w:val="center"/>
              <w:rPr>
                <w:rFonts w:ascii="Arial Narrow" w:hAnsi="Arial Narrow"/>
                <w:b/>
                <w:sz w:val="20"/>
                <w:szCs w:val="20"/>
              </w:rPr>
            </w:pPr>
            <w:r w:rsidRPr="00D161F5">
              <w:rPr>
                <w:rFonts w:ascii="Arial Narrow" w:hAnsi="Arial Narrow"/>
                <w:b/>
                <w:sz w:val="20"/>
                <w:szCs w:val="20"/>
              </w:rPr>
              <w:t>Elimination</w:t>
            </w:r>
          </w:p>
        </w:tc>
        <w:tc>
          <w:tcPr>
            <w:tcW w:w="1287" w:type="dxa"/>
          </w:tcPr>
          <w:p w:rsidR="00D161F5" w:rsidRPr="00D161F5" w:rsidRDefault="00511531" w:rsidP="00D161F5">
            <w:pPr>
              <w:jc w:val="center"/>
              <w:rPr>
                <w:rFonts w:ascii="Arial Narrow" w:hAnsi="Arial Narrow"/>
                <w:b/>
                <w:sz w:val="20"/>
                <w:szCs w:val="20"/>
              </w:rPr>
            </w:pPr>
            <w:r>
              <w:rPr>
                <w:rFonts w:ascii="Arial Narrow" w:hAnsi="Arial Narrow"/>
                <w:b/>
                <w:sz w:val="20"/>
                <w:szCs w:val="20"/>
              </w:rPr>
              <w:t>Group</w:t>
            </w:r>
          </w:p>
        </w:tc>
      </w:tr>
      <w:tr w:rsidR="00D161F5" w:rsidTr="00511531">
        <w:tc>
          <w:tcPr>
            <w:tcW w:w="2268" w:type="dxa"/>
          </w:tcPr>
          <w:p w:rsidR="00D161F5" w:rsidRDefault="00D161F5" w:rsidP="00CE195D">
            <w:pPr>
              <w:jc w:val="both"/>
              <w:rPr>
                <w:rFonts w:ascii="Arial Narrow" w:hAnsi="Arial Narrow"/>
                <w:sz w:val="20"/>
                <w:szCs w:val="20"/>
              </w:rPr>
            </w:pPr>
          </w:p>
        </w:tc>
        <w:tc>
          <w:tcPr>
            <w:tcW w:w="1287" w:type="dxa"/>
            <w:vAlign w:val="bottom"/>
          </w:tcPr>
          <w:p w:rsidR="00D161F5" w:rsidRPr="00D161F5" w:rsidRDefault="00D161F5" w:rsidP="00D161F5">
            <w:pPr>
              <w:jc w:val="center"/>
              <w:rPr>
                <w:rFonts w:ascii="Arial Narrow" w:hAnsi="Arial Narrow"/>
                <w:b/>
                <w:sz w:val="20"/>
                <w:szCs w:val="20"/>
              </w:rPr>
            </w:pPr>
            <w:r w:rsidRPr="00D161F5">
              <w:rPr>
                <w:rFonts w:ascii="Arial Narrow" w:hAnsi="Arial Narrow"/>
                <w:b/>
                <w:sz w:val="20"/>
                <w:szCs w:val="20"/>
              </w:rPr>
              <w:t>RM’000</w:t>
            </w:r>
          </w:p>
        </w:tc>
        <w:tc>
          <w:tcPr>
            <w:tcW w:w="1287" w:type="dxa"/>
            <w:vAlign w:val="bottom"/>
          </w:tcPr>
          <w:p w:rsidR="00D161F5" w:rsidRPr="00D161F5" w:rsidRDefault="00D161F5" w:rsidP="00D161F5">
            <w:pPr>
              <w:jc w:val="center"/>
              <w:rPr>
                <w:rFonts w:ascii="Arial Narrow" w:hAnsi="Arial Narrow"/>
                <w:b/>
                <w:sz w:val="20"/>
                <w:szCs w:val="20"/>
              </w:rPr>
            </w:pPr>
            <w:r w:rsidRPr="00D161F5">
              <w:rPr>
                <w:rFonts w:ascii="Arial Narrow" w:hAnsi="Arial Narrow"/>
                <w:b/>
                <w:sz w:val="20"/>
                <w:szCs w:val="20"/>
              </w:rPr>
              <w:t>RM’000</w:t>
            </w:r>
          </w:p>
        </w:tc>
        <w:tc>
          <w:tcPr>
            <w:tcW w:w="1287" w:type="dxa"/>
            <w:vAlign w:val="bottom"/>
          </w:tcPr>
          <w:p w:rsidR="00D161F5" w:rsidRPr="00D161F5" w:rsidRDefault="00D161F5" w:rsidP="00D161F5">
            <w:pPr>
              <w:jc w:val="center"/>
              <w:rPr>
                <w:rFonts w:ascii="Arial Narrow" w:hAnsi="Arial Narrow"/>
                <w:b/>
                <w:sz w:val="20"/>
                <w:szCs w:val="20"/>
              </w:rPr>
            </w:pPr>
            <w:r w:rsidRPr="00D161F5">
              <w:rPr>
                <w:rFonts w:ascii="Arial Narrow" w:hAnsi="Arial Narrow"/>
                <w:b/>
                <w:sz w:val="20"/>
                <w:szCs w:val="20"/>
              </w:rPr>
              <w:t>RM’000</w:t>
            </w:r>
          </w:p>
        </w:tc>
        <w:tc>
          <w:tcPr>
            <w:tcW w:w="1287" w:type="dxa"/>
            <w:vAlign w:val="bottom"/>
          </w:tcPr>
          <w:p w:rsidR="00D161F5" w:rsidRPr="00D161F5" w:rsidRDefault="00D161F5" w:rsidP="00D161F5">
            <w:pPr>
              <w:jc w:val="center"/>
              <w:rPr>
                <w:rFonts w:ascii="Arial Narrow" w:hAnsi="Arial Narrow"/>
                <w:b/>
                <w:sz w:val="20"/>
                <w:szCs w:val="20"/>
              </w:rPr>
            </w:pPr>
            <w:r w:rsidRPr="00D161F5">
              <w:rPr>
                <w:rFonts w:ascii="Arial Narrow" w:hAnsi="Arial Narrow"/>
                <w:b/>
                <w:sz w:val="20"/>
                <w:szCs w:val="20"/>
              </w:rPr>
              <w:t>RM’000</w:t>
            </w:r>
          </w:p>
        </w:tc>
      </w:tr>
      <w:tr w:rsidR="00D161F5" w:rsidTr="00511531">
        <w:tc>
          <w:tcPr>
            <w:tcW w:w="2268" w:type="dxa"/>
          </w:tcPr>
          <w:p w:rsidR="00D161F5" w:rsidRPr="00D161F5" w:rsidRDefault="00D161F5" w:rsidP="00CE195D">
            <w:pPr>
              <w:jc w:val="both"/>
              <w:rPr>
                <w:rFonts w:ascii="Arial Narrow" w:hAnsi="Arial Narrow"/>
                <w:b/>
                <w:sz w:val="20"/>
                <w:szCs w:val="20"/>
              </w:rPr>
            </w:pPr>
            <w:r w:rsidRPr="00D161F5">
              <w:rPr>
                <w:rFonts w:ascii="Arial Narrow" w:hAnsi="Arial Narrow"/>
                <w:b/>
                <w:sz w:val="20"/>
                <w:szCs w:val="20"/>
              </w:rPr>
              <w:t>Revenue</w:t>
            </w:r>
          </w:p>
        </w:tc>
        <w:tc>
          <w:tcPr>
            <w:tcW w:w="1287" w:type="dxa"/>
          </w:tcPr>
          <w:p w:rsidR="00D161F5" w:rsidRDefault="00D161F5" w:rsidP="00CE195D">
            <w:pPr>
              <w:jc w:val="both"/>
              <w:rPr>
                <w:rFonts w:ascii="Arial Narrow" w:hAnsi="Arial Narrow"/>
                <w:sz w:val="20"/>
                <w:szCs w:val="20"/>
              </w:rPr>
            </w:pPr>
          </w:p>
        </w:tc>
        <w:tc>
          <w:tcPr>
            <w:tcW w:w="1287" w:type="dxa"/>
          </w:tcPr>
          <w:p w:rsidR="00D161F5" w:rsidRDefault="00D161F5" w:rsidP="00CE195D">
            <w:pPr>
              <w:jc w:val="both"/>
              <w:rPr>
                <w:rFonts w:ascii="Arial Narrow" w:hAnsi="Arial Narrow"/>
                <w:sz w:val="20"/>
                <w:szCs w:val="20"/>
              </w:rPr>
            </w:pPr>
          </w:p>
        </w:tc>
        <w:tc>
          <w:tcPr>
            <w:tcW w:w="1287" w:type="dxa"/>
          </w:tcPr>
          <w:p w:rsidR="00D161F5" w:rsidRDefault="00D161F5" w:rsidP="00CE195D">
            <w:pPr>
              <w:jc w:val="both"/>
              <w:rPr>
                <w:rFonts w:ascii="Arial Narrow" w:hAnsi="Arial Narrow"/>
                <w:sz w:val="20"/>
                <w:szCs w:val="20"/>
              </w:rPr>
            </w:pPr>
          </w:p>
        </w:tc>
        <w:tc>
          <w:tcPr>
            <w:tcW w:w="1287" w:type="dxa"/>
          </w:tcPr>
          <w:p w:rsidR="00D161F5" w:rsidRDefault="00D161F5" w:rsidP="00CE195D">
            <w:pPr>
              <w:jc w:val="both"/>
              <w:rPr>
                <w:rFonts w:ascii="Arial Narrow" w:hAnsi="Arial Narrow"/>
                <w:sz w:val="20"/>
                <w:szCs w:val="20"/>
              </w:rPr>
            </w:pPr>
          </w:p>
        </w:tc>
      </w:tr>
      <w:tr w:rsidR="00D161F5" w:rsidTr="00511531">
        <w:tc>
          <w:tcPr>
            <w:tcW w:w="2268" w:type="dxa"/>
          </w:tcPr>
          <w:p w:rsidR="00D161F5" w:rsidRDefault="00D161F5" w:rsidP="00CE195D">
            <w:pPr>
              <w:jc w:val="both"/>
              <w:rPr>
                <w:rFonts w:ascii="Arial Narrow" w:hAnsi="Arial Narrow"/>
                <w:sz w:val="20"/>
                <w:szCs w:val="20"/>
              </w:rPr>
            </w:pPr>
            <w:r>
              <w:rPr>
                <w:rFonts w:ascii="Arial Narrow" w:hAnsi="Arial Narrow"/>
                <w:sz w:val="20"/>
                <w:szCs w:val="20"/>
              </w:rPr>
              <w:t>External sales</w:t>
            </w:r>
          </w:p>
        </w:tc>
        <w:tc>
          <w:tcPr>
            <w:tcW w:w="1287" w:type="dxa"/>
            <w:vAlign w:val="bottom"/>
          </w:tcPr>
          <w:p w:rsidR="00D161F5" w:rsidRDefault="00D161F5" w:rsidP="00B3512E">
            <w:pPr>
              <w:jc w:val="right"/>
              <w:rPr>
                <w:rFonts w:ascii="Arial Narrow" w:hAnsi="Arial Narrow"/>
                <w:sz w:val="20"/>
                <w:szCs w:val="20"/>
              </w:rPr>
            </w:pPr>
            <w:r>
              <w:rPr>
                <w:rFonts w:ascii="Arial Narrow" w:hAnsi="Arial Narrow"/>
                <w:sz w:val="20"/>
                <w:szCs w:val="20"/>
              </w:rPr>
              <w:t>1</w:t>
            </w:r>
            <w:r w:rsidR="00B3512E">
              <w:rPr>
                <w:rFonts w:ascii="Arial Narrow" w:hAnsi="Arial Narrow"/>
                <w:sz w:val="20"/>
                <w:szCs w:val="20"/>
              </w:rPr>
              <w:t>7</w:t>
            </w:r>
            <w:r>
              <w:rPr>
                <w:rFonts w:ascii="Arial Narrow" w:hAnsi="Arial Narrow"/>
                <w:sz w:val="20"/>
                <w:szCs w:val="20"/>
              </w:rPr>
              <w:t>,</w:t>
            </w:r>
            <w:r w:rsidR="00B3512E">
              <w:rPr>
                <w:rFonts w:ascii="Arial Narrow" w:hAnsi="Arial Narrow"/>
                <w:sz w:val="20"/>
                <w:szCs w:val="20"/>
              </w:rPr>
              <w:t>626</w:t>
            </w:r>
          </w:p>
        </w:tc>
        <w:tc>
          <w:tcPr>
            <w:tcW w:w="1287" w:type="dxa"/>
            <w:vAlign w:val="bottom"/>
          </w:tcPr>
          <w:p w:rsidR="00D161F5" w:rsidRDefault="00D161F5" w:rsidP="00D161F5">
            <w:pPr>
              <w:jc w:val="right"/>
              <w:rPr>
                <w:rFonts w:ascii="Arial Narrow" w:hAnsi="Arial Narrow"/>
                <w:sz w:val="20"/>
                <w:szCs w:val="20"/>
              </w:rPr>
            </w:pPr>
            <w:r>
              <w:rPr>
                <w:rFonts w:ascii="Arial Narrow" w:hAnsi="Arial Narrow"/>
                <w:sz w:val="20"/>
                <w:szCs w:val="20"/>
              </w:rPr>
              <w:t>1,175</w:t>
            </w:r>
          </w:p>
        </w:tc>
        <w:tc>
          <w:tcPr>
            <w:tcW w:w="1287" w:type="dxa"/>
          </w:tcPr>
          <w:p w:rsidR="00D161F5" w:rsidRDefault="00D161F5" w:rsidP="00CE195D">
            <w:pPr>
              <w:jc w:val="both"/>
              <w:rPr>
                <w:rFonts w:ascii="Arial Narrow" w:hAnsi="Arial Narrow"/>
                <w:sz w:val="20"/>
                <w:szCs w:val="20"/>
              </w:rPr>
            </w:pPr>
          </w:p>
        </w:tc>
        <w:tc>
          <w:tcPr>
            <w:tcW w:w="1287" w:type="dxa"/>
            <w:vAlign w:val="bottom"/>
          </w:tcPr>
          <w:p w:rsidR="00D161F5" w:rsidRDefault="00D161F5" w:rsidP="00B3512E">
            <w:pPr>
              <w:jc w:val="right"/>
              <w:rPr>
                <w:rFonts w:ascii="Arial Narrow" w:hAnsi="Arial Narrow"/>
                <w:sz w:val="20"/>
                <w:szCs w:val="20"/>
              </w:rPr>
            </w:pPr>
            <w:r>
              <w:rPr>
                <w:rFonts w:ascii="Arial Narrow" w:hAnsi="Arial Narrow"/>
                <w:sz w:val="20"/>
                <w:szCs w:val="20"/>
              </w:rPr>
              <w:t>1</w:t>
            </w:r>
            <w:r w:rsidR="00B3512E">
              <w:rPr>
                <w:rFonts w:ascii="Arial Narrow" w:hAnsi="Arial Narrow"/>
                <w:sz w:val="20"/>
                <w:szCs w:val="20"/>
              </w:rPr>
              <w:t>8</w:t>
            </w:r>
            <w:r>
              <w:rPr>
                <w:rFonts w:ascii="Arial Narrow" w:hAnsi="Arial Narrow"/>
                <w:sz w:val="20"/>
                <w:szCs w:val="20"/>
              </w:rPr>
              <w:t>,</w:t>
            </w:r>
            <w:r w:rsidR="00B3512E">
              <w:rPr>
                <w:rFonts w:ascii="Arial Narrow" w:hAnsi="Arial Narrow"/>
                <w:sz w:val="20"/>
                <w:szCs w:val="20"/>
              </w:rPr>
              <w:t>801</w:t>
            </w:r>
          </w:p>
        </w:tc>
      </w:tr>
      <w:tr w:rsidR="00D161F5" w:rsidTr="00511531">
        <w:tc>
          <w:tcPr>
            <w:tcW w:w="2268" w:type="dxa"/>
          </w:tcPr>
          <w:p w:rsidR="00D161F5" w:rsidRDefault="00D161F5" w:rsidP="00CE195D">
            <w:pPr>
              <w:jc w:val="both"/>
              <w:rPr>
                <w:rFonts w:ascii="Arial Narrow" w:hAnsi="Arial Narrow"/>
                <w:sz w:val="20"/>
                <w:szCs w:val="20"/>
              </w:rPr>
            </w:pPr>
            <w:r>
              <w:rPr>
                <w:rFonts w:ascii="Arial Narrow" w:hAnsi="Arial Narrow"/>
                <w:sz w:val="20"/>
                <w:szCs w:val="20"/>
              </w:rPr>
              <w:t>Intersegment sales</w:t>
            </w:r>
          </w:p>
        </w:tc>
        <w:tc>
          <w:tcPr>
            <w:tcW w:w="1287" w:type="dxa"/>
            <w:vAlign w:val="bottom"/>
          </w:tcPr>
          <w:p w:rsidR="00D161F5" w:rsidRDefault="00B3512E" w:rsidP="00B3512E">
            <w:pPr>
              <w:jc w:val="right"/>
              <w:rPr>
                <w:rFonts w:ascii="Arial Narrow" w:hAnsi="Arial Narrow"/>
                <w:sz w:val="20"/>
                <w:szCs w:val="20"/>
              </w:rPr>
            </w:pPr>
            <w:r>
              <w:rPr>
                <w:rFonts w:ascii="Arial Narrow" w:hAnsi="Arial Narrow"/>
                <w:sz w:val="20"/>
                <w:szCs w:val="20"/>
              </w:rPr>
              <w:t>467</w:t>
            </w:r>
          </w:p>
        </w:tc>
        <w:tc>
          <w:tcPr>
            <w:tcW w:w="1287" w:type="dxa"/>
          </w:tcPr>
          <w:p w:rsidR="00D161F5" w:rsidRDefault="00D161F5" w:rsidP="00CE195D">
            <w:pPr>
              <w:jc w:val="both"/>
              <w:rPr>
                <w:rFonts w:ascii="Arial Narrow" w:hAnsi="Arial Narrow"/>
                <w:sz w:val="20"/>
                <w:szCs w:val="20"/>
              </w:rPr>
            </w:pPr>
          </w:p>
        </w:tc>
        <w:tc>
          <w:tcPr>
            <w:tcW w:w="1287" w:type="dxa"/>
            <w:vAlign w:val="bottom"/>
          </w:tcPr>
          <w:p w:rsidR="00D161F5" w:rsidRDefault="00B3512E" w:rsidP="00B3512E">
            <w:pPr>
              <w:jc w:val="right"/>
              <w:rPr>
                <w:rFonts w:ascii="Arial Narrow" w:hAnsi="Arial Narrow"/>
                <w:sz w:val="20"/>
                <w:szCs w:val="20"/>
              </w:rPr>
            </w:pPr>
            <w:r>
              <w:rPr>
                <w:rFonts w:ascii="Arial Narrow" w:hAnsi="Arial Narrow"/>
                <w:sz w:val="20"/>
                <w:szCs w:val="20"/>
              </w:rPr>
              <w:t>(467)</w:t>
            </w:r>
          </w:p>
        </w:tc>
        <w:tc>
          <w:tcPr>
            <w:tcW w:w="1287" w:type="dxa"/>
            <w:vAlign w:val="bottom"/>
          </w:tcPr>
          <w:p w:rsidR="00D161F5" w:rsidRDefault="00B3512E" w:rsidP="00B3512E">
            <w:pPr>
              <w:jc w:val="right"/>
              <w:rPr>
                <w:rFonts w:ascii="Arial Narrow" w:hAnsi="Arial Narrow"/>
                <w:sz w:val="20"/>
                <w:szCs w:val="20"/>
              </w:rPr>
            </w:pPr>
            <w:r>
              <w:rPr>
                <w:rFonts w:ascii="Arial Narrow" w:hAnsi="Arial Narrow"/>
                <w:sz w:val="20"/>
                <w:szCs w:val="20"/>
              </w:rPr>
              <w:t>-</w:t>
            </w:r>
          </w:p>
        </w:tc>
      </w:tr>
      <w:tr w:rsidR="00B3512E" w:rsidTr="00511531">
        <w:tc>
          <w:tcPr>
            <w:tcW w:w="2268" w:type="dxa"/>
          </w:tcPr>
          <w:p w:rsidR="00B3512E" w:rsidRDefault="00B3512E" w:rsidP="00CE195D">
            <w:pPr>
              <w:jc w:val="both"/>
              <w:rPr>
                <w:rFonts w:ascii="Arial Narrow" w:hAnsi="Arial Narrow"/>
                <w:sz w:val="20"/>
                <w:szCs w:val="20"/>
              </w:rPr>
            </w:pPr>
          </w:p>
        </w:tc>
        <w:tc>
          <w:tcPr>
            <w:tcW w:w="1287" w:type="dxa"/>
            <w:vAlign w:val="bottom"/>
          </w:tcPr>
          <w:p w:rsidR="00B3512E" w:rsidRDefault="00B3512E" w:rsidP="00B3512E">
            <w:pPr>
              <w:jc w:val="right"/>
              <w:rPr>
                <w:rFonts w:ascii="Arial Narrow" w:hAnsi="Arial Narrow"/>
                <w:sz w:val="20"/>
                <w:szCs w:val="20"/>
              </w:rPr>
            </w:pPr>
            <w:r>
              <w:rPr>
                <w:rFonts w:ascii="Arial Narrow" w:hAnsi="Arial Narrow"/>
                <w:sz w:val="20"/>
                <w:szCs w:val="20"/>
              </w:rPr>
              <w:t>18,093</w:t>
            </w:r>
          </w:p>
        </w:tc>
        <w:tc>
          <w:tcPr>
            <w:tcW w:w="1287" w:type="dxa"/>
            <w:vAlign w:val="bottom"/>
          </w:tcPr>
          <w:p w:rsidR="00B3512E" w:rsidRDefault="00B3512E" w:rsidP="00B3512E">
            <w:pPr>
              <w:jc w:val="right"/>
              <w:rPr>
                <w:rFonts w:ascii="Arial Narrow" w:hAnsi="Arial Narrow"/>
                <w:sz w:val="20"/>
                <w:szCs w:val="20"/>
              </w:rPr>
            </w:pPr>
            <w:r>
              <w:rPr>
                <w:rFonts w:ascii="Arial Narrow" w:hAnsi="Arial Narrow"/>
                <w:sz w:val="20"/>
                <w:szCs w:val="20"/>
              </w:rPr>
              <w:t>1,175</w:t>
            </w:r>
          </w:p>
        </w:tc>
        <w:tc>
          <w:tcPr>
            <w:tcW w:w="1287" w:type="dxa"/>
            <w:vAlign w:val="bottom"/>
          </w:tcPr>
          <w:p w:rsidR="00B3512E" w:rsidRDefault="00B3512E" w:rsidP="00B3512E">
            <w:pPr>
              <w:jc w:val="right"/>
              <w:rPr>
                <w:rFonts w:ascii="Arial Narrow" w:hAnsi="Arial Narrow"/>
                <w:sz w:val="20"/>
                <w:szCs w:val="20"/>
              </w:rPr>
            </w:pPr>
            <w:r>
              <w:rPr>
                <w:rFonts w:ascii="Arial Narrow" w:hAnsi="Arial Narrow"/>
                <w:sz w:val="20"/>
                <w:szCs w:val="20"/>
              </w:rPr>
              <w:t>(467)</w:t>
            </w:r>
          </w:p>
        </w:tc>
        <w:tc>
          <w:tcPr>
            <w:tcW w:w="1287" w:type="dxa"/>
            <w:vAlign w:val="bottom"/>
          </w:tcPr>
          <w:p w:rsidR="00B3512E" w:rsidRDefault="00B3512E" w:rsidP="00B3512E">
            <w:pPr>
              <w:jc w:val="right"/>
              <w:rPr>
                <w:rFonts w:ascii="Arial Narrow" w:hAnsi="Arial Narrow"/>
                <w:sz w:val="20"/>
                <w:szCs w:val="20"/>
              </w:rPr>
            </w:pPr>
            <w:r>
              <w:rPr>
                <w:rFonts w:ascii="Arial Narrow" w:hAnsi="Arial Narrow"/>
                <w:sz w:val="20"/>
                <w:szCs w:val="20"/>
              </w:rPr>
              <w:t>18,801</w:t>
            </w:r>
          </w:p>
        </w:tc>
      </w:tr>
      <w:tr w:rsidR="00B3512E" w:rsidTr="00511531">
        <w:tc>
          <w:tcPr>
            <w:tcW w:w="2268" w:type="dxa"/>
          </w:tcPr>
          <w:p w:rsidR="00B3512E" w:rsidRPr="00C56F01" w:rsidRDefault="00C56F01" w:rsidP="00CE195D">
            <w:pPr>
              <w:jc w:val="both"/>
              <w:rPr>
                <w:rFonts w:ascii="Arial Narrow" w:hAnsi="Arial Narrow"/>
                <w:b/>
                <w:sz w:val="20"/>
                <w:szCs w:val="20"/>
              </w:rPr>
            </w:pPr>
            <w:r w:rsidRPr="00C56F01">
              <w:rPr>
                <w:rFonts w:ascii="Arial Narrow" w:hAnsi="Arial Narrow"/>
                <w:b/>
                <w:sz w:val="20"/>
                <w:szCs w:val="20"/>
              </w:rPr>
              <w:t>Results</w:t>
            </w:r>
          </w:p>
        </w:tc>
        <w:tc>
          <w:tcPr>
            <w:tcW w:w="1287" w:type="dxa"/>
            <w:vAlign w:val="bottom"/>
          </w:tcPr>
          <w:p w:rsidR="00B3512E" w:rsidRDefault="00B3512E" w:rsidP="00B3512E">
            <w:pPr>
              <w:jc w:val="right"/>
              <w:rPr>
                <w:rFonts w:ascii="Arial Narrow" w:hAnsi="Arial Narrow"/>
                <w:sz w:val="20"/>
                <w:szCs w:val="20"/>
              </w:rPr>
            </w:pPr>
          </w:p>
        </w:tc>
        <w:tc>
          <w:tcPr>
            <w:tcW w:w="1287" w:type="dxa"/>
            <w:vAlign w:val="bottom"/>
          </w:tcPr>
          <w:p w:rsidR="00B3512E" w:rsidRDefault="00B3512E" w:rsidP="00B3512E">
            <w:pPr>
              <w:jc w:val="right"/>
              <w:rPr>
                <w:rFonts w:ascii="Arial Narrow" w:hAnsi="Arial Narrow"/>
                <w:sz w:val="20"/>
                <w:szCs w:val="20"/>
              </w:rPr>
            </w:pPr>
          </w:p>
        </w:tc>
        <w:tc>
          <w:tcPr>
            <w:tcW w:w="1287" w:type="dxa"/>
            <w:vAlign w:val="bottom"/>
          </w:tcPr>
          <w:p w:rsidR="00B3512E" w:rsidRDefault="00B3512E" w:rsidP="00B3512E">
            <w:pPr>
              <w:jc w:val="right"/>
              <w:rPr>
                <w:rFonts w:ascii="Arial Narrow" w:hAnsi="Arial Narrow"/>
                <w:sz w:val="20"/>
                <w:szCs w:val="20"/>
              </w:rPr>
            </w:pPr>
          </w:p>
        </w:tc>
        <w:tc>
          <w:tcPr>
            <w:tcW w:w="1287" w:type="dxa"/>
            <w:vAlign w:val="bottom"/>
          </w:tcPr>
          <w:p w:rsidR="00B3512E" w:rsidRDefault="00B3512E" w:rsidP="00B3512E">
            <w:pPr>
              <w:jc w:val="right"/>
              <w:rPr>
                <w:rFonts w:ascii="Arial Narrow" w:hAnsi="Arial Narrow"/>
                <w:sz w:val="20"/>
                <w:szCs w:val="20"/>
              </w:rPr>
            </w:pPr>
          </w:p>
        </w:tc>
      </w:tr>
      <w:tr w:rsidR="00C56F01" w:rsidTr="00511531">
        <w:tc>
          <w:tcPr>
            <w:tcW w:w="2268" w:type="dxa"/>
          </w:tcPr>
          <w:p w:rsidR="00C56F01" w:rsidRPr="00C56F01" w:rsidRDefault="00C56F01" w:rsidP="00C56F01">
            <w:pPr>
              <w:jc w:val="both"/>
              <w:rPr>
                <w:rFonts w:ascii="Arial Narrow" w:hAnsi="Arial Narrow"/>
                <w:sz w:val="20"/>
                <w:szCs w:val="20"/>
              </w:rPr>
            </w:pPr>
            <w:r w:rsidRPr="00C56F01">
              <w:rPr>
                <w:rFonts w:ascii="Arial Narrow" w:hAnsi="Arial Narrow"/>
                <w:sz w:val="20"/>
                <w:szCs w:val="20"/>
              </w:rPr>
              <w:t xml:space="preserve">Profit </w:t>
            </w:r>
            <w:r>
              <w:rPr>
                <w:rFonts w:ascii="Arial Narrow" w:hAnsi="Arial Narrow"/>
                <w:sz w:val="20"/>
                <w:szCs w:val="20"/>
              </w:rPr>
              <w:t>from operations</w:t>
            </w:r>
          </w:p>
        </w:tc>
        <w:tc>
          <w:tcPr>
            <w:tcW w:w="1287" w:type="dxa"/>
            <w:vAlign w:val="bottom"/>
          </w:tcPr>
          <w:p w:rsidR="00C56F01" w:rsidRPr="00512E89" w:rsidRDefault="00511531" w:rsidP="00322EAA">
            <w:pPr>
              <w:jc w:val="right"/>
              <w:rPr>
                <w:rFonts w:ascii="Arial Narrow" w:hAnsi="Arial Narrow"/>
                <w:sz w:val="20"/>
                <w:szCs w:val="20"/>
              </w:rPr>
            </w:pPr>
            <w:r w:rsidRPr="00512E89">
              <w:rPr>
                <w:rFonts w:ascii="Arial Narrow" w:hAnsi="Arial Narrow"/>
                <w:sz w:val="20"/>
                <w:szCs w:val="20"/>
              </w:rPr>
              <w:t>4,</w:t>
            </w:r>
            <w:r w:rsidR="00322EAA">
              <w:rPr>
                <w:rFonts w:ascii="Arial Narrow" w:hAnsi="Arial Narrow"/>
                <w:sz w:val="20"/>
                <w:szCs w:val="20"/>
              </w:rPr>
              <w:t>647</w:t>
            </w:r>
          </w:p>
        </w:tc>
        <w:tc>
          <w:tcPr>
            <w:tcW w:w="1287" w:type="dxa"/>
            <w:vAlign w:val="bottom"/>
          </w:tcPr>
          <w:p w:rsidR="00C56F01" w:rsidRPr="00512E89" w:rsidRDefault="00511531" w:rsidP="00EE1338">
            <w:pPr>
              <w:jc w:val="right"/>
              <w:rPr>
                <w:rFonts w:ascii="Arial Narrow" w:hAnsi="Arial Narrow"/>
                <w:sz w:val="20"/>
                <w:szCs w:val="20"/>
              </w:rPr>
            </w:pPr>
            <w:r w:rsidRPr="00512E89">
              <w:rPr>
                <w:rFonts w:ascii="Arial Narrow" w:hAnsi="Arial Narrow"/>
                <w:sz w:val="20"/>
                <w:szCs w:val="20"/>
              </w:rPr>
              <w:t>1</w:t>
            </w:r>
            <w:r w:rsidR="00EE1338" w:rsidRPr="00512E89">
              <w:rPr>
                <w:rFonts w:ascii="Arial Narrow" w:hAnsi="Arial Narrow"/>
                <w:sz w:val="20"/>
                <w:szCs w:val="20"/>
              </w:rPr>
              <w:t>36</w:t>
            </w:r>
          </w:p>
        </w:tc>
        <w:tc>
          <w:tcPr>
            <w:tcW w:w="1287" w:type="dxa"/>
            <w:vAlign w:val="bottom"/>
          </w:tcPr>
          <w:p w:rsidR="00C56F01" w:rsidRPr="00512E89" w:rsidRDefault="00EE1338" w:rsidP="00AF0DF1">
            <w:pPr>
              <w:jc w:val="right"/>
              <w:rPr>
                <w:rFonts w:ascii="Arial Narrow" w:hAnsi="Arial Narrow"/>
                <w:sz w:val="20"/>
                <w:szCs w:val="20"/>
              </w:rPr>
            </w:pPr>
            <w:r w:rsidRPr="00512E89">
              <w:rPr>
                <w:rFonts w:ascii="Arial Narrow" w:hAnsi="Arial Narrow"/>
                <w:sz w:val="20"/>
                <w:szCs w:val="20"/>
              </w:rPr>
              <w:t>72</w:t>
            </w:r>
          </w:p>
        </w:tc>
        <w:tc>
          <w:tcPr>
            <w:tcW w:w="1287" w:type="dxa"/>
            <w:vAlign w:val="bottom"/>
          </w:tcPr>
          <w:p w:rsidR="00C56F01" w:rsidRPr="00512E89" w:rsidRDefault="00322EAA" w:rsidP="00322EAA">
            <w:pPr>
              <w:jc w:val="right"/>
              <w:rPr>
                <w:rFonts w:ascii="Arial Narrow" w:hAnsi="Arial Narrow"/>
                <w:sz w:val="20"/>
                <w:szCs w:val="20"/>
              </w:rPr>
            </w:pPr>
            <w:r>
              <w:rPr>
                <w:rFonts w:ascii="Arial Narrow" w:hAnsi="Arial Narrow"/>
                <w:sz w:val="20"/>
                <w:szCs w:val="20"/>
              </w:rPr>
              <w:t>4</w:t>
            </w:r>
            <w:r w:rsidR="00550AFB" w:rsidRPr="00512E89">
              <w:rPr>
                <w:rFonts w:ascii="Arial Narrow" w:hAnsi="Arial Narrow"/>
                <w:sz w:val="20"/>
                <w:szCs w:val="20"/>
              </w:rPr>
              <w:t>,</w:t>
            </w:r>
            <w:r>
              <w:rPr>
                <w:rFonts w:ascii="Arial Narrow" w:hAnsi="Arial Narrow"/>
                <w:sz w:val="20"/>
                <w:szCs w:val="20"/>
              </w:rPr>
              <w:t>855</w:t>
            </w:r>
          </w:p>
        </w:tc>
      </w:tr>
      <w:tr w:rsidR="00C56F01" w:rsidTr="00511531">
        <w:tc>
          <w:tcPr>
            <w:tcW w:w="2268" w:type="dxa"/>
          </w:tcPr>
          <w:p w:rsidR="00C56F01" w:rsidRPr="00C56F01" w:rsidRDefault="00511531" w:rsidP="00C56F01">
            <w:pPr>
              <w:jc w:val="both"/>
              <w:rPr>
                <w:rFonts w:ascii="Arial Narrow" w:hAnsi="Arial Narrow"/>
                <w:sz w:val="20"/>
                <w:szCs w:val="20"/>
              </w:rPr>
            </w:pPr>
            <w:r>
              <w:rPr>
                <w:rFonts w:ascii="Arial Narrow" w:hAnsi="Arial Narrow"/>
                <w:sz w:val="20"/>
                <w:szCs w:val="20"/>
              </w:rPr>
              <w:t>Finance cost</w:t>
            </w:r>
          </w:p>
        </w:tc>
        <w:tc>
          <w:tcPr>
            <w:tcW w:w="1287" w:type="dxa"/>
            <w:vAlign w:val="bottom"/>
          </w:tcPr>
          <w:p w:rsidR="00C56F01" w:rsidRDefault="00C56F01" w:rsidP="00B3512E">
            <w:pPr>
              <w:jc w:val="right"/>
              <w:rPr>
                <w:rFonts w:ascii="Arial Narrow" w:hAnsi="Arial Narrow"/>
                <w:sz w:val="20"/>
                <w:szCs w:val="20"/>
              </w:rPr>
            </w:pPr>
          </w:p>
        </w:tc>
        <w:tc>
          <w:tcPr>
            <w:tcW w:w="1287" w:type="dxa"/>
            <w:vAlign w:val="bottom"/>
          </w:tcPr>
          <w:p w:rsidR="00C56F01" w:rsidRDefault="00C56F01" w:rsidP="00B3512E">
            <w:pPr>
              <w:jc w:val="right"/>
              <w:rPr>
                <w:rFonts w:ascii="Arial Narrow" w:hAnsi="Arial Narrow"/>
                <w:sz w:val="20"/>
                <w:szCs w:val="20"/>
              </w:rPr>
            </w:pPr>
          </w:p>
        </w:tc>
        <w:tc>
          <w:tcPr>
            <w:tcW w:w="1287" w:type="dxa"/>
            <w:vAlign w:val="bottom"/>
          </w:tcPr>
          <w:p w:rsidR="00C56F01" w:rsidRDefault="00C56F01" w:rsidP="00B3512E">
            <w:pPr>
              <w:jc w:val="right"/>
              <w:rPr>
                <w:rFonts w:ascii="Arial Narrow" w:hAnsi="Arial Narrow"/>
                <w:sz w:val="20"/>
                <w:szCs w:val="20"/>
              </w:rPr>
            </w:pPr>
          </w:p>
        </w:tc>
        <w:tc>
          <w:tcPr>
            <w:tcW w:w="1287" w:type="dxa"/>
            <w:vAlign w:val="bottom"/>
          </w:tcPr>
          <w:p w:rsidR="00C56F01" w:rsidRDefault="00BA4BD2" w:rsidP="00B3512E">
            <w:pPr>
              <w:jc w:val="right"/>
              <w:rPr>
                <w:rFonts w:ascii="Arial Narrow" w:hAnsi="Arial Narrow"/>
                <w:sz w:val="20"/>
                <w:szCs w:val="20"/>
              </w:rPr>
            </w:pPr>
            <w:r>
              <w:rPr>
                <w:rFonts w:ascii="Arial Narrow" w:hAnsi="Arial Narrow"/>
                <w:sz w:val="20"/>
                <w:szCs w:val="20"/>
              </w:rPr>
              <w:t>-</w:t>
            </w:r>
          </w:p>
        </w:tc>
      </w:tr>
      <w:tr w:rsidR="00511531" w:rsidTr="00511531">
        <w:tc>
          <w:tcPr>
            <w:tcW w:w="2268" w:type="dxa"/>
          </w:tcPr>
          <w:p w:rsidR="00511531" w:rsidRDefault="00511531" w:rsidP="00C56F01">
            <w:pPr>
              <w:jc w:val="both"/>
              <w:rPr>
                <w:rFonts w:ascii="Arial Narrow" w:hAnsi="Arial Narrow"/>
                <w:sz w:val="20"/>
                <w:szCs w:val="20"/>
              </w:rPr>
            </w:pPr>
            <w:r>
              <w:rPr>
                <w:rFonts w:ascii="Arial Narrow" w:hAnsi="Arial Narrow"/>
                <w:sz w:val="20"/>
                <w:szCs w:val="20"/>
              </w:rPr>
              <w:t>Share of profit of associates</w:t>
            </w:r>
          </w:p>
        </w:tc>
        <w:tc>
          <w:tcPr>
            <w:tcW w:w="1287" w:type="dxa"/>
            <w:vAlign w:val="bottom"/>
          </w:tcPr>
          <w:p w:rsidR="00511531" w:rsidRDefault="00511531" w:rsidP="00B3512E">
            <w:pPr>
              <w:jc w:val="right"/>
              <w:rPr>
                <w:rFonts w:ascii="Arial Narrow" w:hAnsi="Arial Narrow"/>
                <w:sz w:val="20"/>
                <w:szCs w:val="20"/>
              </w:rPr>
            </w:pPr>
          </w:p>
        </w:tc>
        <w:tc>
          <w:tcPr>
            <w:tcW w:w="1287" w:type="dxa"/>
            <w:vAlign w:val="bottom"/>
          </w:tcPr>
          <w:p w:rsidR="00511531" w:rsidRDefault="00511531" w:rsidP="00B3512E">
            <w:pPr>
              <w:jc w:val="right"/>
              <w:rPr>
                <w:rFonts w:ascii="Arial Narrow" w:hAnsi="Arial Narrow"/>
                <w:sz w:val="20"/>
                <w:szCs w:val="20"/>
              </w:rPr>
            </w:pPr>
          </w:p>
        </w:tc>
        <w:tc>
          <w:tcPr>
            <w:tcW w:w="1287" w:type="dxa"/>
            <w:vAlign w:val="bottom"/>
          </w:tcPr>
          <w:p w:rsidR="00511531" w:rsidRDefault="00511531" w:rsidP="00B3512E">
            <w:pPr>
              <w:jc w:val="right"/>
              <w:rPr>
                <w:rFonts w:ascii="Arial Narrow" w:hAnsi="Arial Narrow"/>
                <w:sz w:val="20"/>
                <w:szCs w:val="20"/>
              </w:rPr>
            </w:pPr>
          </w:p>
        </w:tc>
        <w:tc>
          <w:tcPr>
            <w:tcW w:w="1287" w:type="dxa"/>
            <w:vAlign w:val="bottom"/>
          </w:tcPr>
          <w:p w:rsidR="00511531" w:rsidRDefault="00511531" w:rsidP="00322EAA">
            <w:pPr>
              <w:jc w:val="right"/>
              <w:rPr>
                <w:rFonts w:ascii="Arial Narrow" w:hAnsi="Arial Narrow"/>
                <w:sz w:val="20"/>
                <w:szCs w:val="20"/>
              </w:rPr>
            </w:pPr>
            <w:r>
              <w:rPr>
                <w:rFonts w:ascii="Arial Narrow" w:hAnsi="Arial Narrow"/>
                <w:sz w:val="20"/>
                <w:szCs w:val="20"/>
              </w:rPr>
              <w:t>1,</w:t>
            </w:r>
            <w:r w:rsidR="00322EAA">
              <w:rPr>
                <w:rFonts w:ascii="Arial Narrow" w:hAnsi="Arial Narrow"/>
                <w:sz w:val="20"/>
                <w:szCs w:val="20"/>
              </w:rPr>
              <w:t>164</w:t>
            </w:r>
          </w:p>
        </w:tc>
      </w:tr>
      <w:tr w:rsidR="00511531" w:rsidTr="00511531">
        <w:tc>
          <w:tcPr>
            <w:tcW w:w="2268" w:type="dxa"/>
          </w:tcPr>
          <w:p w:rsidR="00511531" w:rsidRDefault="00511531" w:rsidP="00C56F01">
            <w:pPr>
              <w:jc w:val="both"/>
              <w:rPr>
                <w:rFonts w:ascii="Arial Narrow" w:hAnsi="Arial Narrow"/>
                <w:sz w:val="20"/>
                <w:szCs w:val="20"/>
              </w:rPr>
            </w:pPr>
            <w:r>
              <w:rPr>
                <w:rFonts w:ascii="Arial Narrow" w:hAnsi="Arial Narrow"/>
                <w:sz w:val="20"/>
                <w:szCs w:val="20"/>
              </w:rPr>
              <w:t>Profit before taxation</w:t>
            </w:r>
          </w:p>
        </w:tc>
        <w:tc>
          <w:tcPr>
            <w:tcW w:w="1287" w:type="dxa"/>
            <w:vAlign w:val="bottom"/>
          </w:tcPr>
          <w:p w:rsidR="00511531" w:rsidRDefault="00511531" w:rsidP="00B3512E">
            <w:pPr>
              <w:jc w:val="right"/>
              <w:rPr>
                <w:rFonts w:ascii="Arial Narrow" w:hAnsi="Arial Narrow"/>
                <w:sz w:val="20"/>
                <w:szCs w:val="20"/>
              </w:rPr>
            </w:pPr>
          </w:p>
        </w:tc>
        <w:tc>
          <w:tcPr>
            <w:tcW w:w="1287" w:type="dxa"/>
            <w:vAlign w:val="bottom"/>
          </w:tcPr>
          <w:p w:rsidR="00511531" w:rsidRDefault="00511531" w:rsidP="00B3512E">
            <w:pPr>
              <w:jc w:val="right"/>
              <w:rPr>
                <w:rFonts w:ascii="Arial Narrow" w:hAnsi="Arial Narrow"/>
                <w:sz w:val="20"/>
                <w:szCs w:val="20"/>
              </w:rPr>
            </w:pPr>
          </w:p>
        </w:tc>
        <w:tc>
          <w:tcPr>
            <w:tcW w:w="1287" w:type="dxa"/>
            <w:vAlign w:val="bottom"/>
          </w:tcPr>
          <w:p w:rsidR="00511531" w:rsidRDefault="00511531" w:rsidP="00B3512E">
            <w:pPr>
              <w:jc w:val="right"/>
              <w:rPr>
                <w:rFonts w:ascii="Arial Narrow" w:hAnsi="Arial Narrow"/>
                <w:sz w:val="20"/>
                <w:szCs w:val="20"/>
              </w:rPr>
            </w:pPr>
          </w:p>
        </w:tc>
        <w:tc>
          <w:tcPr>
            <w:tcW w:w="1287" w:type="dxa"/>
            <w:vAlign w:val="bottom"/>
          </w:tcPr>
          <w:p w:rsidR="00511531" w:rsidRDefault="00550AFB" w:rsidP="00322EAA">
            <w:pPr>
              <w:jc w:val="right"/>
              <w:rPr>
                <w:rFonts w:ascii="Arial Narrow" w:hAnsi="Arial Narrow"/>
                <w:sz w:val="20"/>
                <w:szCs w:val="20"/>
              </w:rPr>
            </w:pPr>
            <w:r>
              <w:rPr>
                <w:rFonts w:ascii="Arial Narrow" w:hAnsi="Arial Narrow"/>
                <w:sz w:val="20"/>
                <w:szCs w:val="20"/>
              </w:rPr>
              <w:t>6,</w:t>
            </w:r>
            <w:r w:rsidR="00322EAA">
              <w:rPr>
                <w:rFonts w:ascii="Arial Narrow" w:hAnsi="Arial Narrow"/>
                <w:sz w:val="20"/>
                <w:szCs w:val="20"/>
              </w:rPr>
              <w:t>019</w:t>
            </w:r>
          </w:p>
        </w:tc>
      </w:tr>
      <w:tr w:rsidR="00511531" w:rsidTr="00511531">
        <w:tc>
          <w:tcPr>
            <w:tcW w:w="2268" w:type="dxa"/>
          </w:tcPr>
          <w:p w:rsidR="00511531" w:rsidRDefault="00511531" w:rsidP="00C56F01">
            <w:pPr>
              <w:jc w:val="both"/>
              <w:rPr>
                <w:rFonts w:ascii="Arial Narrow" w:hAnsi="Arial Narrow"/>
                <w:sz w:val="20"/>
                <w:szCs w:val="20"/>
              </w:rPr>
            </w:pPr>
            <w:r>
              <w:rPr>
                <w:rFonts w:ascii="Arial Narrow" w:hAnsi="Arial Narrow"/>
                <w:sz w:val="20"/>
                <w:szCs w:val="20"/>
              </w:rPr>
              <w:t>Taxation</w:t>
            </w:r>
          </w:p>
        </w:tc>
        <w:tc>
          <w:tcPr>
            <w:tcW w:w="1287" w:type="dxa"/>
            <w:vAlign w:val="bottom"/>
          </w:tcPr>
          <w:p w:rsidR="00511531" w:rsidRDefault="00511531" w:rsidP="00B3512E">
            <w:pPr>
              <w:jc w:val="right"/>
              <w:rPr>
                <w:rFonts w:ascii="Arial Narrow" w:hAnsi="Arial Narrow"/>
                <w:sz w:val="20"/>
                <w:szCs w:val="20"/>
              </w:rPr>
            </w:pPr>
          </w:p>
        </w:tc>
        <w:tc>
          <w:tcPr>
            <w:tcW w:w="1287" w:type="dxa"/>
            <w:vAlign w:val="bottom"/>
          </w:tcPr>
          <w:p w:rsidR="00511531" w:rsidRDefault="00511531" w:rsidP="00B3512E">
            <w:pPr>
              <w:jc w:val="right"/>
              <w:rPr>
                <w:rFonts w:ascii="Arial Narrow" w:hAnsi="Arial Narrow"/>
                <w:sz w:val="20"/>
                <w:szCs w:val="20"/>
              </w:rPr>
            </w:pPr>
          </w:p>
        </w:tc>
        <w:tc>
          <w:tcPr>
            <w:tcW w:w="1287" w:type="dxa"/>
            <w:vAlign w:val="bottom"/>
          </w:tcPr>
          <w:p w:rsidR="00511531" w:rsidRDefault="00511531" w:rsidP="00B3512E">
            <w:pPr>
              <w:jc w:val="right"/>
              <w:rPr>
                <w:rFonts w:ascii="Arial Narrow" w:hAnsi="Arial Narrow"/>
                <w:sz w:val="20"/>
                <w:szCs w:val="20"/>
              </w:rPr>
            </w:pPr>
          </w:p>
        </w:tc>
        <w:tc>
          <w:tcPr>
            <w:tcW w:w="1287" w:type="dxa"/>
            <w:vAlign w:val="bottom"/>
          </w:tcPr>
          <w:p w:rsidR="00511531" w:rsidRDefault="00550AFB" w:rsidP="00B3512E">
            <w:pPr>
              <w:jc w:val="right"/>
              <w:rPr>
                <w:rFonts w:ascii="Arial Narrow" w:hAnsi="Arial Narrow"/>
                <w:sz w:val="20"/>
                <w:szCs w:val="20"/>
              </w:rPr>
            </w:pPr>
            <w:r>
              <w:rPr>
                <w:rFonts w:ascii="Arial Narrow" w:hAnsi="Arial Narrow"/>
                <w:sz w:val="20"/>
                <w:szCs w:val="20"/>
              </w:rPr>
              <w:t xml:space="preserve"> (1,024)</w:t>
            </w:r>
          </w:p>
        </w:tc>
      </w:tr>
      <w:tr w:rsidR="00511531" w:rsidTr="00511531">
        <w:tc>
          <w:tcPr>
            <w:tcW w:w="2268" w:type="dxa"/>
          </w:tcPr>
          <w:p w:rsidR="00511531" w:rsidRDefault="00511531" w:rsidP="00C56F01">
            <w:pPr>
              <w:jc w:val="both"/>
              <w:rPr>
                <w:rFonts w:ascii="Arial Narrow" w:hAnsi="Arial Narrow"/>
                <w:sz w:val="20"/>
                <w:szCs w:val="20"/>
              </w:rPr>
            </w:pPr>
            <w:r>
              <w:rPr>
                <w:rFonts w:ascii="Arial Narrow" w:hAnsi="Arial Narrow"/>
                <w:sz w:val="20"/>
                <w:szCs w:val="20"/>
              </w:rPr>
              <w:t>Profit after taxation</w:t>
            </w:r>
          </w:p>
        </w:tc>
        <w:tc>
          <w:tcPr>
            <w:tcW w:w="1287" w:type="dxa"/>
            <w:vAlign w:val="bottom"/>
          </w:tcPr>
          <w:p w:rsidR="00511531" w:rsidRDefault="00511531" w:rsidP="00B3512E">
            <w:pPr>
              <w:jc w:val="right"/>
              <w:rPr>
                <w:rFonts w:ascii="Arial Narrow" w:hAnsi="Arial Narrow"/>
                <w:sz w:val="20"/>
                <w:szCs w:val="20"/>
              </w:rPr>
            </w:pPr>
          </w:p>
        </w:tc>
        <w:tc>
          <w:tcPr>
            <w:tcW w:w="1287" w:type="dxa"/>
            <w:vAlign w:val="bottom"/>
          </w:tcPr>
          <w:p w:rsidR="00511531" w:rsidRDefault="00511531" w:rsidP="00B3512E">
            <w:pPr>
              <w:jc w:val="right"/>
              <w:rPr>
                <w:rFonts w:ascii="Arial Narrow" w:hAnsi="Arial Narrow"/>
                <w:sz w:val="20"/>
                <w:szCs w:val="20"/>
              </w:rPr>
            </w:pPr>
          </w:p>
        </w:tc>
        <w:tc>
          <w:tcPr>
            <w:tcW w:w="1287" w:type="dxa"/>
            <w:vAlign w:val="bottom"/>
          </w:tcPr>
          <w:p w:rsidR="00511531" w:rsidRDefault="00511531" w:rsidP="00B3512E">
            <w:pPr>
              <w:jc w:val="right"/>
              <w:rPr>
                <w:rFonts w:ascii="Arial Narrow" w:hAnsi="Arial Narrow"/>
                <w:sz w:val="20"/>
                <w:szCs w:val="20"/>
              </w:rPr>
            </w:pPr>
          </w:p>
        </w:tc>
        <w:tc>
          <w:tcPr>
            <w:tcW w:w="1287" w:type="dxa"/>
            <w:vAlign w:val="bottom"/>
          </w:tcPr>
          <w:p w:rsidR="00511531" w:rsidRDefault="00322EAA" w:rsidP="00B3512E">
            <w:pPr>
              <w:jc w:val="right"/>
              <w:rPr>
                <w:rFonts w:ascii="Arial Narrow" w:hAnsi="Arial Narrow"/>
                <w:sz w:val="20"/>
                <w:szCs w:val="20"/>
              </w:rPr>
            </w:pPr>
            <w:r>
              <w:rPr>
                <w:rFonts w:ascii="Arial Narrow" w:hAnsi="Arial Narrow"/>
                <w:sz w:val="20"/>
                <w:szCs w:val="20"/>
              </w:rPr>
              <w:t>4,995</w:t>
            </w:r>
          </w:p>
        </w:tc>
      </w:tr>
    </w:tbl>
    <w:p w:rsidR="00CD0046" w:rsidRPr="00CD0046" w:rsidRDefault="00CD0046" w:rsidP="00CD0046">
      <w:pPr>
        <w:spacing w:after="0"/>
        <w:ind w:firstLine="720"/>
        <w:jc w:val="both"/>
        <w:rPr>
          <w:rFonts w:ascii="Arial Narrow" w:hAnsi="Arial Narrow"/>
          <w:sz w:val="20"/>
          <w:szCs w:val="20"/>
        </w:rPr>
      </w:pPr>
    </w:p>
    <w:p w:rsidR="00CD0046" w:rsidRPr="009869F4" w:rsidRDefault="00CD0046" w:rsidP="00CD0046">
      <w:pPr>
        <w:spacing w:after="0"/>
        <w:jc w:val="both"/>
        <w:rPr>
          <w:rFonts w:ascii="Arial Narrow" w:hAnsi="Arial Narrow"/>
          <w:b/>
          <w:sz w:val="20"/>
          <w:szCs w:val="20"/>
        </w:rPr>
      </w:pPr>
      <w:r>
        <w:rPr>
          <w:rFonts w:ascii="Arial Narrow" w:hAnsi="Arial Narrow"/>
          <w:b/>
          <w:sz w:val="20"/>
          <w:szCs w:val="20"/>
        </w:rPr>
        <w:t xml:space="preserve">      A11.</w:t>
      </w:r>
      <w:r>
        <w:rPr>
          <w:rFonts w:ascii="Arial Narrow" w:hAnsi="Arial Narrow"/>
          <w:b/>
          <w:sz w:val="20"/>
          <w:szCs w:val="20"/>
        </w:rPr>
        <w:tab/>
      </w:r>
      <w:r w:rsidRPr="009869F4">
        <w:rPr>
          <w:rFonts w:ascii="Arial Narrow" w:hAnsi="Arial Narrow"/>
          <w:b/>
          <w:sz w:val="20"/>
          <w:szCs w:val="20"/>
        </w:rPr>
        <w:t>Subsequent Material Events</w:t>
      </w:r>
    </w:p>
    <w:p w:rsidR="00CD0046" w:rsidRDefault="00CD0046" w:rsidP="00CD0046">
      <w:pPr>
        <w:spacing w:after="0"/>
        <w:jc w:val="both"/>
        <w:rPr>
          <w:rFonts w:ascii="Arial Narrow" w:hAnsi="Arial Narrow"/>
          <w:sz w:val="20"/>
          <w:szCs w:val="20"/>
        </w:rPr>
      </w:pPr>
    </w:p>
    <w:p w:rsidR="00CD0046" w:rsidRPr="00AB7D4F" w:rsidRDefault="00CD0046" w:rsidP="00CD0046">
      <w:pPr>
        <w:spacing w:after="0"/>
        <w:ind w:left="720"/>
        <w:jc w:val="both"/>
        <w:rPr>
          <w:rFonts w:ascii="Arial Narrow" w:hAnsi="Arial Narrow"/>
          <w:sz w:val="20"/>
          <w:szCs w:val="20"/>
        </w:rPr>
      </w:pPr>
      <w:r>
        <w:rPr>
          <w:rFonts w:ascii="Arial Narrow" w:hAnsi="Arial Narrow"/>
          <w:sz w:val="20"/>
          <w:szCs w:val="20"/>
        </w:rPr>
        <w:t>There were no material events subsequent to the reporting period up to</w:t>
      </w:r>
      <w:r w:rsidR="00637918">
        <w:rPr>
          <w:rFonts w:ascii="Arial Narrow" w:hAnsi="Arial Narrow"/>
          <w:sz w:val="20"/>
          <w:szCs w:val="20"/>
        </w:rPr>
        <w:t xml:space="preserve"> </w:t>
      </w:r>
      <w:r w:rsidR="00215BB5">
        <w:rPr>
          <w:rFonts w:ascii="Arial Narrow" w:hAnsi="Arial Narrow"/>
          <w:sz w:val="20"/>
          <w:szCs w:val="20"/>
        </w:rPr>
        <w:t>4</w:t>
      </w:r>
      <w:r w:rsidR="0069533C">
        <w:rPr>
          <w:rFonts w:ascii="Arial Narrow" w:hAnsi="Arial Narrow"/>
          <w:sz w:val="20"/>
          <w:szCs w:val="20"/>
        </w:rPr>
        <w:t xml:space="preserve"> </w:t>
      </w:r>
      <w:r w:rsidR="00637918">
        <w:rPr>
          <w:rFonts w:ascii="Arial Narrow" w:hAnsi="Arial Narrow"/>
          <w:sz w:val="20"/>
          <w:szCs w:val="20"/>
        </w:rPr>
        <w:t>August 2010</w:t>
      </w:r>
      <w:r>
        <w:rPr>
          <w:rFonts w:ascii="Arial Narrow" w:hAnsi="Arial Narrow"/>
          <w:sz w:val="20"/>
          <w:szCs w:val="20"/>
        </w:rPr>
        <w:t xml:space="preserve"> which have not been reflected in the financial statements for the quarter under review.</w:t>
      </w:r>
      <w:r w:rsidRPr="00AB7D4F">
        <w:rPr>
          <w:rFonts w:ascii="Arial Narrow" w:hAnsi="Arial Narrow"/>
          <w:sz w:val="20"/>
          <w:szCs w:val="20"/>
        </w:rPr>
        <w:tab/>
      </w:r>
    </w:p>
    <w:p w:rsidR="00CD0046" w:rsidRDefault="00CD0046" w:rsidP="00CD0046">
      <w:pPr>
        <w:pStyle w:val="ListParagraph"/>
        <w:spacing w:after="0"/>
        <w:jc w:val="both"/>
        <w:rPr>
          <w:rFonts w:ascii="Arial Narrow" w:hAnsi="Arial Narrow"/>
          <w:sz w:val="20"/>
          <w:szCs w:val="20"/>
        </w:rPr>
      </w:pPr>
    </w:p>
    <w:p w:rsidR="00AB7D4F" w:rsidRDefault="001C1E2C" w:rsidP="00D14458">
      <w:pPr>
        <w:spacing w:after="0"/>
        <w:rPr>
          <w:rFonts w:ascii="Arial Narrow" w:hAnsi="Arial Narrow"/>
          <w:b/>
          <w:sz w:val="20"/>
          <w:szCs w:val="20"/>
        </w:rPr>
      </w:pPr>
      <w:r>
        <w:rPr>
          <w:rFonts w:ascii="Arial Narrow" w:hAnsi="Arial Narrow"/>
          <w:b/>
          <w:sz w:val="20"/>
          <w:szCs w:val="20"/>
        </w:rPr>
        <w:t xml:space="preserve">  </w:t>
      </w:r>
      <w:r w:rsidR="00D14458">
        <w:rPr>
          <w:rFonts w:ascii="Arial Narrow" w:hAnsi="Arial Narrow"/>
          <w:b/>
          <w:sz w:val="20"/>
          <w:szCs w:val="20"/>
        </w:rPr>
        <w:t xml:space="preserve"> </w:t>
      </w:r>
      <w:r w:rsidR="002B7186">
        <w:rPr>
          <w:rFonts w:ascii="Arial Narrow" w:hAnsi="Arial Narrow"/>
          <w:b/>
          <w:sz w:val="20"/>
          <w:szCs w:val="20"/>
        </w:rPr>
        <w:t xml:space="preserve">  </w:t>
      </w:r>
      <w:r w:rsidR="00D14458">
        <w:rPr>
          <w:rFonts w:ascii="Arial Narrow" w:hAnsi="Arial Narrow"/>
          <w:b/>
          <w:sz w:val="20"/>
          <w:szCs w:val="20"/>
        </w:rPr>
        <w:t>A12.</w:t>
      </w:r>
      <w:r w:rsidR="00D14458">
        <w:rPr>
          <w:rFonts w:ascii="Arial Narrow" w:hAnsi="Arial Narrow"/>
          <w:b/>
          <w:sz w:val="20"/>
          <w:szCs w:val="20"/>
        </w:rPr>
        <w:tab/>
      </w:r>
      <w:r w:rsidR="00AB7D4F" w:rsidRPr="00D14458">
        <w:rPr>
          <w:rFonts w:ascii="Arial Narrow" w:hAnsi="Arial Narrow"/>
          <w:b/>
          <w:sz w:val="20"/>
          <w:szCs w:val="20"/>
        </w:rPr>
        <w:t>Effect of changes in the composition of the Group</w:t>
      </w:r>
    </w:p>
    <w:p w:rsidR="00087701" w:rsidRDefault="00087701" w:rsidP="00D14458">
      <w:pPr>
        <w:spacing w:after="0"/>
        <w:rPr>
          <w:rFonts w:ascii="Arial Narrow" w:hAnsi="Arial Narrow"/>
          <w:b/>
          <w:sz w:val="20"/>
          <w:szCs w:val="20"/>
        </w:rPr>
      </w:pPr>
    </w:p>
    <w:p w:rsidR="00D97BCE" w:rsidRPr="00D97BCE" w:rsidRDefault="00D97BCE" w:rsidP="00D97BCE">
      <w:pPr>
        <w:spacing w:after="0"/>
        <w:ind w:left="720"/>
        <w:rPr>
          <w:rFonts w:ascii="Arial Narrow" w:hAnsi="Arial Narrow"/>
          <w:sz w:val="20"/>
          <w:szCs w:val="20"/>
        </w:rPr>
      </w:pPr>
      <w:r w:rsidRPr="00D97BCE">
        <w:rPr>
          <w:rFonts w:ascii="Arial Narrow" w:hAnsi="Arial Narrow"/>
          <w:sz w:val="20"/>
          <w:szCs w:val="20"/>
        </w:rPr>
        <w:t>On 22 February 2010, the Company acquired 100% equity interest in Turbo-Mech Asia Pte Ltd, a company incorporated in Singapore for a consideration of RM36,326,243 fully satisfied by the issuance of 72,652,486 new shares of RM0.50 each in the company</w:t>
      </w:r>
    </w:p>
    <w:p w:rsidR="00087701" w:rsidRDefault="00087701" w:rsidP="00D14458">
      <w:pPr>
        <w:spacing w:after="0"/>
        <w:rPr>
          <w:rFonts w:ascii="Arial Narrow" w:hAnsi="Arial Narrow"/>
          <w:b/>
          <w:sz w:val="20"/>
          <w:szCs w:val="20"/>
        </w:rPr>
      </w:pPr>
      <w:r>
        <w:rPr>
          <w:rFonts w:ascii="Arial Narrow" w:hAnsi="Arial Narrow"/>
          <w:b/>
          <w:sz w:val="20"/>
          <w:szCs w:val="20"/>
        </w:rPr>
        <w:tab/>
      </w:r>
      <w:r>
        <w:rPr>
          <w:rFonts w:ascii="Arial Narrow" w:hAnsi="Arial Narrow"/>
          <w:b/>
          <w:sz w:val="20"/>
          <w:szCs w:val="20"/>
        </w:rPr>
        <w:tab/>
      </w:r>
    </w:p>
    <w:p w:rsidR="00DD2ACB" w:rsidRDefault="00ED72C5" w:rsidP="006E6C4C">
      <w:pPr>
        <w:spacing w:after="0"/>
        <w:ind w:left="720"/>
        <w:rPr>
          <w:rFonts w:ascii="Arial Narrow" w:hAnsi="Arial Narrow"/>
          <w:b/>
          <w:sz w:val="20"/>
          <w:szCs w:val="20"/>
        </w:rPr>
      </w:pPr>
      <w:r w:rsidRPr="006E6C4C">
        <w:rPr>
          <w:rFonts w:ascii="Arial Narrow" w:hAnsi="Arial Narrow"/>
          <w:sz w:val="20"/>
          <w:szCs w:val="20"/>
        </w:rPr>
        <w:t>On 13 April 2010, the Company issued a prospectus for the public issue of up to 18,068,000 new Turbo-Mech Berhad’s shares at an issue price of RM0.63 per ordinary share payable in full on application in conjunction with its listing on the Main Market of Bursa Securities</w:t>
      </w:r>
      <w:r>
        <w:rPr>
          <w:rFonts w:ascii="Arial Narrow" w:hAnsi="Arial Narrow"/>
          <w:b/>
          <w:sz w:val="20"/>
          <w:szCs w:val="20"/>
        </w:rPr>
        <w:t>.</w:t>
      </w:r>
    </w:p>
    <w:p w:rsidR="00DD2ACB" w:rsidRDefault="00DD2ACB" w:rsidP="00D14458">
      <w:pPr>
        <w:spacing w:after="0"/>
        <w:rPr>
          <w:rFonts w:ascii="Arial Narrow" w:hAnsi="Arial Narrow"/>
          <w:b/>
          <w:sz w:val="20"/>
          <w:szCs w:val="20"/>
        </w:rPr>
      </w:pPr>
    </w:p>
    <w:p w:rsidR="006E6C4C" w:rsidRDefault="006E6C4C" w:rsidP="00D14458">
      <w:pPr>
        <w:spacing w:after="0"/>
        <w:rPr>
          <w:rFonts w:ascii="Arial Narrow" w:hAnsi="Arial Narrow"/>
          <w:b/>
          <w:sz w:val="20"/>
          <w:szCs w:val="20"/>
        </w:rPr>
      </w:pPr>
    </w:p>
    <w:p w:rsidR="00ED552F" w:rsidRDefault="00ED552F" w:rsidP="00ED552F">
      <w:pPr>
        <w:spacing w:after="0"/>
        <w:rPr>
          <w:rFonts w:ascii="Arial Narrow" w:hAnsi="Arial Narrow" w:cs="Arial"/>
          <w:b/>
          <w:sz w:val="20"/>
          <w:szCs w:val="20"/>
        </w:rPr>
      </w:pPr>
    </w:p>
    <w:p w:rsidR="00ED552F" w:rsidRPr="00AF6798" w:rsidRDefault="00ED552F" w:rsidP="00ED552F">
      <w:pPr>
        <w:spacing w:after="0"/>
        <w:rPr>
          <w:rFonts w:ascii="Arial Narrow" w:hAnsi="Arial Narrow" w:cs="Arial"/>
          <w:b/>
          <w:sz w:val="20"/>
          <w:szCs w:val="20"/>
        </w:rPr>
      </w:pPr>
      <w:r>
        <w:rPr>
          <w:rFonts w:ascii="Arial Narrow" w:hAnsi="Arial Narrow" w:cs="Arial"/>
          <w:b/>
          <w:sz w:val="20"/>
          <w:szCs w:val="20"/>
        </w:rPr>
        <w:t>T</w:t>
      </w:r>
      <w:r w:rsidRPr="00AF6798">
        <w:rPr>
          <w:rFonts w:ascii="Arial Narrow" w:hAnsi="Arial Narrow" w:cs="Arial"/>
          <w:b/>
          <w:sz w:val="20"/>
          <w:szCs w:val="20"/>
        </w:rPr>
        <w:t>URBO-MECH BERHAD (863263-D)</w:t>
      </w:r>
    </w:p>
    <w:p w:rsidR="00ED552F" w:rsidRPr="00AF6798" w:rsidRDefault="00ED552F" w:rsidP="00ED552F">
      <w:pPr>
        <w:spacing w:after="0"/>
        <w:rPr>
          <w:rFonts w:ascii="Arial Narrow" w:hAnsi="Arial Narrow" w:cs="Arial"/>
          <w:b/>
          <w:sz w:val="20"/>
          <w:szCs w:val="20"/>
        </w:rPr>
      </w:pPr>
      <w:r w:rsidRPr="00AF6798">
        <w:rPr>
          <w:rFonts w:ascii="Arial Narrow" w:hAnsi="Arial Narrow" w:cs="Arial"/>
          <w:b/>
          <w:sz w:val="20"/>
          <w:szCs w:val="20"/>
        </w:rPr>
        <w:t xml:space="preserve">INTERIM FINANCIAL REPORT FOR THE </w:t>
      </w:r>
      <w:r w:rsidR="00723268">
        <w:rPr>
          <w:rFonts w:ascii="Arial Narrow" w:hAnsi="Arial Narrow" w:cs="Arial"/>
          <w:b/>
          <w:sz w:val="20"/>
          <w:szCs w:val="20"/>
        </w:rPr>
        <w:t>SECOND</w:t>
      </w:r>
      <w:r w:rsidRPr="00AF6798">
        <w:rPr>
          <w:rFonts w:ascii="Arial Narrow" w:hAnsi="Arial Narrow" w:cs="Arial"/>
          <w:b/>
          <w:sz w:val="20"/>
          <w:szCs w:val="20"/>
        </w:rPr>
        <w:t xml:space="preserve"> QUARTER ENDED 3</w:t>
      </w:r>
      <w:r>
        <w:rPr>
          <w:rFonts w:ascii="Arial Narrow" w:hAnsi="Arial Narrow" w:cs="Arial"/>
          <w:b/>
          <w:sz w:val="20"/>
          <w:szCs w:val="20"/>
        </w:rPr>
        <w:t>0</w:t>
      </w:r>
      <w:r w:rsidRPr="00AF6798">
        <w:rPr>
          <w:rFonts w:ascii="Arial Narrow" w:hAnsi="Arial Narrow" w:cs="Arial"/>
          <w:b/>
          <w:sz w:val="20"/>
          <w:szCs w:val="20"/>
        </w:rPr>
        <w:t xml:space="preserve"> </w:t>
      </w:r>
      <w:r>
        <w:rPr>
          <w:rFonts w:ascii="Arial Narrow" w:hAnsi="Arial Narrow" w:cs="Arial"/>
          <w:b/>
          <w:sz w:val="20"/>
          <w:szCs w:val="20"/>
        </w:rPr>
        <w:t xml:space="preserve">JUNE </w:t>
      </w:r>
      <w:r w:rsidRPr="00AF6798">
        <w:rPr>
          <w:rFonts w:ascii="Arial Narrow" w:hAnsi="Arial Narrow" w:cs="Arial"/>
          <w:b/>
          <w:sz w:val="20"/>
          <w:szCs w:val="20"/>
        </w:rPr>
        <w:t>2010</w:t>
      </w:r>
    </w:p>
    <w:p w:rsidR="00ED552F" w:rsidRPr="00AF6798" w:rsidRDefault="00ED552F" w:rsidP="00ED552F">
      <w:pPr>
        <w:spacing w:after="0"/>
        <w:rPr>
          <w:rFonts w:ascii="Arial Narrow" w:hAnsi="Arial Narrow"/>
          <w:b/>
          <w:sz w:val="20"/>
          <w:szCs w:val="20"/>
        </w:rPr>
      </w:pPr>
    </w:p>
    <w:p w:rsidR="00ED552F" w:rsidRDefault="00ED552F" w:rsidP="00ED552F">
      <w:pPr>
        <w:spacing w:after="0"/>
        <w:rPr>
          <w:rFonts w:ascii="Arial Narrow" w:hAnsi="Arial Narrow"/>
          <w:b/>
          <w:sz w:val="20"/>
          <w:szCs w:val="20"/>
        </w:rPr>
      </w:pPr>
      <w:r>
        <w:rPr>
          <w:rFonts w:ascii="Arial Narrow" w:hAnsi="Arial Narrow"/>
          <w:b/>
          <w:sz w:val="20"/>
          <w:szCs w:val="20"/>
        </w:rPr>
        <w:t>EXPLANATORY NOTES IN COMPLIANCE WITH FINANCIAL REPORTING STANDARDS (“FRS”) 134</w:t>
      </w:r>
      <w:r w:rsidRPr="00AF6798">
        <w:rPr>
          <w:rFonts w:ascii="Arial Narrow" w:hAnsi="Arial Narrow"/>
          <w:b/>
          <w:sz w:val="20"/>
          <w:szCs w:val="20"/>
        </w:rPr>
        <w:t xml:space="preserve"> INTERIM FINANCIAL REPORT</w:t>
      </w:r>
      <w:r>
        <w:rPr>
          <w:rFonts w:ascii="Arial Narrow" w:hAnsi="Arial Narrow"/>
          <w:b/>
          <w:sz w:val="20"/>
          <w:szCs w:val="20"/>
        </w:rPr>
        <w:t xml:space="preserve"> (CONT’D)</w:t>
      </w:r>
    </w:p>
    <w:p w:rsidR="00ED552F" w:rsidRDefault="00ED552F" w:rsidP="00AB7D4F">
      <w:pPr>
        <w:spacing w:after="0"/>
        <w:ind w:left="720"/>
        <w:rPr>
          <w:rFonts w:ascii="Arial Narrow" w:hAnsi="Arial Narrow"/>
          <w:sz w:val="20"/>
          <w:szCs w:val="20"/>
        </w:rPr>
      </w:pPr>
    </w:p>
    <w:p w:rsidR="00D55BEF" w:rsidRDefault="00D55BEF" w:rsidP="00AB7D4F">
      <w:pPr>
        <w:spacing w:after="0"/>
        <w:ind w:left="720"/>
        <w:rPr>
          <w:rFonts w:ascii="Arial Narrow" w:hAnsi="Arial Narrow"/>
          <w:sz w:val="20"/>
          <w:szCs w:val="20"/>
        </w:rPr>
      </w:pPr>
    </w:p>
    <w:p w:rsidR="006E6C4C" w:rsidRDefault="006E6C4C" w:rsidP="006E6C4C">
      <w:pPr>
        <w:spacing w:after="0"/>
        <w:rPr>
          <w:rFonts w:ascii="Arial Narrow" w:hAnsi="Arial Narrow"/>
          <w:b/>
          <w:sz w:val="20"/>
          <w:szCs w:val="20"/>
        </w:rPr>
      </w:pPr>
      <w:r>
        <w:rPr>
          <w:rFonts w:ascii="Arial Narrow" w:hAnsi="Arial Narrow"/>
          <w:b/>
          <w:sz w:val="20"/>
          <w:szCs w:val="20"/>
        </w:rPr>
        <w:t xml:space="preserve">     A12.</w:t>
      </w:r>
      <w:r>
        <w:rPr>
          <w:rFonts w:ascii="Arial Narrow" w:hAnsi="Arial Narrow"/>
          <w:b/>
          <w:sz w:val="20"/>
          <w:szCs w:val="20"/>
        </w:rPr>
        <w:tab/>
      </w:r>
      <w:r w:rsidRPr="00D14458">
        <w:rPr>
          <w:rFonts w:ascii="Arial Narrow" w:hAnsi="Arial Narrow"/>
          <w:b/>
          <w:sz w:val="20"/>
          <w:szCs w:val="20"/>
        </w:rPr>
        <w:t>Effect of changes in the composition of the Group</w:t>
      </w:r>
      <w:r>
        <w:rPr>
          <w:rFonts w:ascii="Arial Narrow" w:hAnsi="Arial Narrow"/>
          <w:b/>
          <w:sz w:val="20"/>
          <w:szCs w:val="20"/>
        </w:rPr>
        <w:t xml:space="preserve"> (cont’d)</w:t>
      </w:r>
    </w:p>
    <w:p w:rsidR="006E6C4C" w:rsidRDefault="006E6C4C" w:rsidP="006E6C4C">
      <w:pPr>
        <w:spacing w:after="0"/>
        <w:rPr>
          <w:rFonts w:ascii="Arial Narrow" w:hAnsi="Arial Narrow"/>
          <w:b/>
          <w:sz w:val="20"/>
          <w:szCs w:val="20"/>
        </w:rPr>
      </w:pPr>
    </w:p>
    <w:p w:rsidR="006E6C4C" w:rsidRPr="006E6C4C" w:rsidRDefault="006E6C4C" w:rsidP="006E6C4C">
      <w:pPr>
        <w:spacing w:after="0"/>
        <w:ind w:left="720"/>
        <w:rPr>
          <w:rFonts w:ascii="Arial Narrow" w:hAnsi="Arial Narrow"/>
          <w:sz w:val="20"/>
          <w:szCs w:val="20"/>
        </w:rPr>
      </w:pPr>
      <w:r w:rsidRPr="006E6C4C">
        <w:rPr>
          <w:rFonts w:ascii="Arial Narrow" w:hAnsi="Arial Narrow"/>
          <w:sz w:val="20"/>
          <w:szCs w:val="20"/>
        </w:rPr>
        <w:t>The entire enlarged issued and paid-up share capital of RM54</w:t>
      </w:r>
      <w:r>
        <w:rPr>
          <w:rFonts w:ascii="Arial Narrow" w:hAnsi="Arial Narrow"/>
          <w:sz w:val="20"/>
          <w:szCs w:val="20"/>
        </w:rPr>
        <w:t>,</w:t>
      </w:r>
      <w:r w:rsidRPr="006E6C4C">
        <w:rPr>
          <w:rFonts w:ascii="Arial Narrow" w:hAnsi="Arial Narrow"/>
          <w:sz w:val="20"/>
          <w:szCs w:val="20"/>
        </w:rPr>
        <w:t>000,000 comprising 108,000,000 ordinary shares of RM0.50 each of the Company listed on the Main Market of Bursa Securities on 30 April 2010.</w:t>
      </w:r>
    </w:p>
    <w:p w:rsidR="006E6C4C" w:rsidRDefault="006E6C4C" w:rsidP="00AB7D4F">
      <w:pPr>
        <w:spacing w:after="0"/>
        <w:ind w:left="720"/>
        <w:rPr>
          <w:rFonts w:ascii="Arial Narrow" w:hAnsi="Arial Narrow"/>
          <w:sz w:val="20"/>
          <w:szCs w:val="20"/>
        </w:rPr>
      </w:pPr>
    </w:p>
    <w:p w:rsidR="006E6C4C" w:rsidRDefault="006E6C4C" w:rsidP="00AB7D4F">
      <w:pPr>
        <w:spacing w:after="0"/>
        <w:ind w:left="720"/>
        <w:rPr>
          <w:rFonts w:ascii="Arial Narrow" w:hAnsi="Arial Narrow"/>
          <w:sz w:val="20"/>
          <w:szCs w:val="20"/>
        </w:rPr>
      </w:pPr>
    </w:p>
    <w:p w:rsidR="00DD2ACB" w:rsidRPr="00D14458" w:rsidRDefault="00DD2ACB" w:rsidP="00DD2ACB">
      <w:pPr>
        <w:spacing w:after="0"/>
        <w:rPr>
          <w:rFonts w:ascii="Arial Narrow" w:hAnsi="Arial Narrow"/>
          <w:b/>
          <w:sz w:val="20"/>
          <w:szCs w:val="20"/>
        </w:rPr>
      </w:pPr>
      <w:r>
        <w:rPr>
          <w:rFonts w:ascii="Arial Narrow" w:hAnsi="Arial Narrow"/>
          <w:b/>
          <w:sz w:val="20"/>
          <w:szCs w:val="20"/>
        </w:rPr>
        <w:t xml:space="preserve">     A13.</w:t>
      </w:r>
      <w:r>
        <w:rPr>
          <w:rFonts w:ascii="Arial Narrow" w:hAnsi="Arial Narrow"/>
          <w:b/>
          <w:sz w:val="20"/>
          <w:szCs w:val="20"/>
        </w:rPr>
        <w:tab/>
        <w:t xml:space="preserve">Changes in </w:t>
      </w:r>
      <w:r w:rsidRPr="00D14458">
        <w:rPr>
          <w:rFonts w:ascii="Arial Narrow" w:hAnsi="Arial Narrow"/>
          <w:b/>
          <w:sz w:val="20"/>
          <w:szCs w:val="20"/>
        </w:rPr>
        <w:t>Contingent liabilities</w:t>
      </w:r>
      <w:r>
        <w:rPr>
          <w:rFonts w:ascii="Arial Narrow" w:hAnsi="Arial Narrow"/>
          <w:b/>
          <w:sz w:val="20"/>
          <w:szCs w:val="20"/>
        </w:rPr>
        <w:t xml:space="preserve"> and Contingent Assets</w:t>
      </w:r>
    </w:p>
    <w:p w:rsidR="00DD2ACB" w:rsidRDefault="00DD2ACB" w:rsidP="00DD2ACB">
      <w:pPr>
        <w:spacing w:after="0"/>
        <w:rPr>
          <w:rFonts w:ascii="Arial Narrow" w:hAnsi="Arial Narrow"/>
          <w:sz w:val="20"/>
          <w:szCs w:val="20"/>
        </w:rPr>
      </w:pPr>
    </w:p>
    <w:p w:rsidR="00DD2ACB" w:rsidRDefault="00DD2ACB" w:rsidP="00DD2ACB">
      <w:pPr>
        <w:spacing w:after="0"/>
        <w:ind w:left="720"/>
        <w:rPr>
          <w:rFonts w:ascii="Arial Narrow" w:hAnsi="Arial Narrow"/>
          <w:sz w:val="20"/>
          <w:szCs w:val="20"/>
        </w:rPr>
      </w:pPr>
      <w:r>
        <w:rPr>
          <w:rFonts w:ascii="Arial Narrow" w:hAnsi="Arial Narrow"/>
          <w:sz w:val="20"/>
          <w:szCs w:val="20"/>
        </w:rPr>
        <w:t xml:space="preserve">The contingent liabilities for the financial quarters are as follows: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RM’000</w:t>
      </w:r>
      <w:r>
        <w:rPr>
          <w:rFonts w:ascii="Arial Narrow" w:hAnsi="Arial Narrow"/>
          <w:sz w:val="20"/>
          <w:szCs w:val="20"/>
        </w:rPr>
        <w:tab/>
      </w:r>
    </w:p>
    <w:p w:rsidR="00DD2ACB" w:rsidRDefault="00DD2ACB" w:rsidP="00DD2ACB">
      <w:pPr>
        <w:spacing w:after="0"/>
        <w:ind w:left="720"/>
        <w:rPr>
          <w:rFonts w:ascii="Arial Narrow" w:hAnsi="Arial Narrow"/>
          <w:sz w:val="20"/>
          <w:szCs w:val="20"/>
        </w:rPr>
      </w:pPr>
    </w:p>
    <w:p w:rsidR="00DD2ACB" w:rsidRDefault="00DD2ACB" w:rsidP="00DD2ACB">
      <w:pPr>
        <w:spacing w:after="0"/>
        <w:ind w:left="720"/>
        <w:rPr>
          <w:rFonts w:ascii="Arial Narrow" w:hAnsi="Arial Narrow"/>
          <w:sz w:val="20"/>
          <w:szCs w:val="20"/>
        </w:rPr>
      </w:pPr>
      <w:r>
        <w:rPr>
          <w:rFonts w:ascii="Arial Narrow" w:hAnsi="Arial Narrow"/>
          <w:sz w:val="20"/>
          <w:szCs w:val="20"/>
        </w:rPr>
        <w:t xml:space="preserve">Warranty given to customers in the form of bank guarantee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3,512</w:t>
      </w:r>
    </w:p>
    <w:p w:rsidR="00DD2ACB" w:rsidRDefault="00DD2ACB" w:rsidP="00DD2ACB">
      <w:pPr>
        <w:spacing w:after="0"/>
        <w:ind w:left="720"/>
        <w:rPr>
          <w:rFonts w:ascii="Arial Narrow" w:hAnsi="Arial Narrow"/>
          <w:sz w:val="20"/>
          <w:szCs w:val="20"/>
        </w:rPr>
      </w:pPr>
      <w:r>
        <w:rPr>
          <w:rFonts w:ascii="Arial Narrow" w:hAnsi="Arial Narrow"/>
          <w:sz w:val="20"/>
          <w:szCs w:val="20"/>
        </w:rPr>
        <w:t>in respect of products supplied/services rendered</w:t>
      </w:r>
    </w:p>
    <w:p w:rsidR="00DD2ACB" w:rsidRDefault="00DD2ACB" w:rsidP="00AB7D4F">
      <w:pPr>
        <w:spacing w:after="0"/>
        <w:ind w:left="720"/>
        <w:rPr>
          <w:rFonts w:ascii="Arial Narrow" w:hAnsi="Arial Narrow"/>
          <w:sz w:val="20"/>
          <w:szCs w:val="20"/>
        </w:rPr>
      </w:pPr>
    </w:p>
    <w:p w:rsidR="00292A32" w:rsidRPr="00D14458" w:rsidRDefault="002B7186" w:rsidP="00D14458">
      <w:pPr>
        <w:spacing w:after="0"/>
        <w:jc w:val="both"/>
        <w:rPr>
          <w:rFonts w:ascii="Arial Narrow" w:hAnsi="Arial Narrow"/>
          <w:b/>
          <w:sz w:val="20"/>
          <w:szCs w:val="20"/>
        </w:rPr>
      </w:pPr>
      <w:r>
        <w:rPr>
          <w:rFonts w:ascii="Arial Narrow" w:hAnsi="Arial Narrow"/>
          <w:b/>
          <w:sz w:val="20"/>
          <w:szCs w:val="20"/>
        </w:rPr>
        <w:t xml:space="preserve">   </w:t>
      </w:r>
      <w:r w:rsidR="001C1E2C">
        <w:rPr>
          <w:rFonts w:ascii="Arial Narrow" w:hAnsi="Arial Narrow"/>
          <w:b/>
          <w:sz w:val="20"/>
          <w:szCs w:val="20"/>
        </w:rPr>
        <w:t xml:space="preserve"> </w:t>
      </w:r>
      <w:r>
        <w:rPr>
          <w:rFonts w:ascii="Arial Narrow" w:hAnsi="Arial Narrow"/>
          <w:b/>
          <w:sz w:val="20"/>
          <w:szCs w:val="20"/>
        </w:rPr>
        <w:t xml:space="preserve"> </w:t>
      </w:r>
      <w:r w:rsidR="00D14458">
        <w:rPr>
          <w:rFonts w:ascii="Arial Narrow" w:hAnsi="Arial Narrow"/>
          <w:b/>
          <w:sz w:val="20"/>
          <w:szCs w:val="20"/>
        </w:rPr>
        <w:t>A14.</w:t>
      </w:r>
      <w:r w:rsidR="00D14458">
        <w:rPr>
          <w:rFonts w:ascii="Arial Narrow" w:hAnsi="Arial Narrow"/>
          <w:b/>
          <w:sz w:val="20"/>
          <w:szCs w:val="20"/>
        </w:rPr>
        <w:tab/>
      </w:r>
      <w:r w:rsidR="00292A32" w:rsidRPr="00D14458">
        <w:rPr>
          <w:rFonts w:ascii="Arial Narrow" w:hAnsi="Arial Narrow"/>
          <w:b/>
          <w:sz w:val="20"/>
          <w:szCs w:val="20"/>
        </w:rPr>
        <w:t>Capital commitments</w:t>
      </w:r>
    </w:p>
    <w:p w:rsidR="00292A32" w:rsidRDefault="00292A32" w:rsidP="00292A32">
      <w:pPr>
        <w:spacing w:after="0"/>
        <w:jc w:val="both"/>
        <w:rPr>
          <w:rFonts w:ascii="Arial Narrow" w:hAnsi="Arial Narrow"/>
          <w:sz w:val="20"/>
          <w:szCs w:val="20"/>
        </w:rPr>
      </w:pPr>
    </w:p>
    <w:p w:rsidR="00292A32" w:rsidRDefault="00DD2ACB" w:rsidP="00292A32">
      <w:pPr>
        <w:spacing w:after="0"/>
        <w:ind w:left="720"/>
        <w:jc w:val="both"/>
        <w:rPr>
          <w:rFonts w:ascii="Arial Narrow" w:hAnsi="Arial Narrow"/>
          <w:sz w:val="20"/>
          <w:szCs w:val="20"/>
        </w:rPr>
      </w:pPr>
      <w:r>
        <w:rPr>
          <w:rFonts w:ascii="Arial Narrow" w:hAnsi="Arial Narrow"/>
          <w:sz w:val="20"/>
          <w:szCs w:val="20"/>
        </w:rPr>
        <w:t xml:space="preserve">The capital commitments provided for the </w:t>
      </w:r>
      <w:r w:rsidR="00292A32">
        <w:rPr>
          <w:rFonts w:ascii="Arial Narrow" w:hAnsi="Arial Narrow"/>
          <w:sz w:val="20"/>
          <w:szCs w:val="20"/>
        </w:rPr>
        <w:t>financial quarter ended 3</w:t>
      </w:r>
      <w:r w:rsidR="009A1F35">
        <w:rPr>
          <w:rFonts w:ascii="Arial Narrow" w:hAnsi="Arial Narrow"/>
          <w:sz w:val="20"/>
          <w:szCs w:val="20"/>
        </w:rPr>
        <w:t>0</w:t>
      </w:r>
      <w:r w:rsidR="00292A32">
        <w:rPr>
          <w:rFonts w:ascii="Arial Narrow" w:hAnsi="Arial Narrow"/>
          <w:sz w:val="20"/>
          <w:szCs w:val="20"/>
        </w:rPr>
        <w:t xml:space="preserve"> </w:t>
      </w:r>
      <w:r w:rsidR="009A1F35">
        <w:rPr>
          <w:rFonts w:ascii="Arial Narrow" w:hAnsi="Arial Narrow"/>
          <w:sz w:val="20"/>
          <w:szCs w:val="20"/>
        </w:rPr>
        <w:t>June</w:t>
      </w:r>
      <w:r w:rsidR="00292A32">
        <w:rPr>
          <w:rFonts w:ascii="Arial Narrow" w:hAnsi="Arial Narrow"/>
          <w:sz w:val="20"/>
          <w:szCs w:val="20"/>
        </w:rPr>
        <w:t xml:space="preserve"> 2010</w:t>
      </w:r>
      <w:r w:rsidR="008E425F">
        <w:rPr>
          <w:rFonts w:ascii="Arial Narrow" w:hAnsi="Arial Narrow"/>
          <w:sz w:val="20"/>
          <w:szCs w:val="20"/>
        </w:rPr>
        <w:t xml:space="preserve"> </w:t>
      </w:r>
      <w:r>
        <w:rPr>
          <w:rFonts w:ascii="Arial Narrow" w:hAnsi="Arial Narrow"/>
          <w:sz w:val="20"/>
          <w:szCs w:val="20"/>
        </w:rPr>
        <w:t>is</w:t>
      </w:r>
      <w:r w:rsidR="008E425F">
        <w:rPr>
          <w:rFonts w:ascii="Arial Narrow" w:hAnsi="Arial Narrow"/>
          <w:sz w:val="20"/>
          <w:szCs w:val="20"/>
        </w:rPr>
        <w:t xml:space="preserve"> as follows:</w:t>
      </w:r>
    </w:p>
    <w:p w:rsidR="008E425F" w:rsidRDefault="00215BB5" w:rsidP="00292A32">
      <w:pPr>
        <w:spacing w:after="0"/>
        <w:ind w:left="72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RM’000</w:t>
      </w:r>
    </w:p>
    <w:p w:rsidR="00215BB5" w:rsidRDefault="00215BB5" w:rsidP="00292A32">
      <w:pPr>
        <w:spacing w:after="0"/>
        <w:ind w:left="720"/>
        <w:jc w:val="both"/>
        <w:rPr>
          <w:rFonts w:ascii="Arial Narrow" w:hAnsi="Arial Narrow"/>
          <w:sz w:val="20"/>
          <w:szCs w:val="20"/>
        </w:rPr>
      </w:pPr>
    </w:p>
    <w:p w:rsidR="008E425F" w:rsidRDefault="008E425F" w:rsidP="00292A32">
      <w:pPr>
        <w:spacing w:after="0"/>
        <w:ind w:left="720"/>
        <w:jc w:val="both"/>
        <w:rPr>
          <w:rFonts w:ascii="Arial Narrow" w:hAnsi="Arial Narrow"/>
          <w:sz w:val="20"/>
          <w:szCs w:val="20"/>
        </w:rPr>
      </w:pPr>
      <w:r>
        <w:rPr>
          <w:rFonts w:ascii="Arial Narrow" w:hAnsi="Arial Narrow"/>
          <w:sz w:val="20"/>
          <w:szCs w:val="20"/>
        </w:rPr>
        <w:t>Approved but not provided for</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215BB5">
        <w:rPr>
          <w:rFonts w:ascii="Arial Narrow" w:hAnsi="Arial Narrow"/>
          <w:sz w:val="20"/>
          <w:szCs w:val="20"/>
        </w:rPr>
        <w:t xml:space="preserve">       102</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2070"/>
        <w:gridCol w:w="2970"/>
        <w:gridCol w:w="2088"/>
      </w:tblGrid>
      <w:tr w:rsidR="008A0896" w:rsidTr="001C1E2C">
        <w:tc>
          <w:tcPr>
            <w:tcW w:w="1728" w:type="dxa"/>
          </w:tcPr>
          <w:p w:rsidR="008A0896" w:rsidRDefault="008A0896" w:rsidP="00175018">
            <w:pPr>
              <w:rPr>
                <w:rFonts w:ascii="Arial Narrow" w:hAnsi="Arial Narrow"/>
                <w:sz w:val="20"/>
                <w:szCs w:val="20"/>
              </w:rPr>
            </w:pPr>
          </w:p>
        </w:tc>
        <w:tc>
          <w:tcPr>
            <w:tcW w:w="2070" w:type="dxa"/>
          </w:tcPr>
          <w:p w:rsidR="008A0896" w:rsidRDefault="008A0896" w:rsidP="00B20D61">
            <w:pPr>
              <w:jc w:val="both"/>
              <w:rPr>
                <w:rFonts w:ascii="Arial Narrow" w:hAnsi="Arial Narrow"/>
                <w:sz w:val="20"/>
                <w:szCs w:val="20"/>
              </w:rPr>
            </w:pPr>
          </w:p>
        </w:tc>
        <w:tc>
          <w:tcPr>
            <w:tcW w:w="2970" w:type="dxa"/>
            <w:vAlign w:val="bottom"/>
          </w:tcPr>
          <w:p w:rsidR="008A0896" w:rsidRDefault="008A0896" w:rsidP="00A13767">
            <w:pPr>
              <w:ind w:right="400"/>
              <w:jc w:val="center"/>
              <w:rPr>
                <w:rFonts w:ascii="Arial Narrow" w:hAnsi="Arial Narrow"/>
                <w:sz w:val="20"/>
                <w:szCs w:val="20"/>
              </w:rPr>
            </w:pPr>
          </w:p>
        </w:tc>
        <w:tc>
          <w:tcPr>
            <w:tcW w:w="2088" w:type="dxa"/>
            <w:vAlign w:val="bottom"/>
          </w:tcPr>
          <w:p w:rsidR="008A0896" w:rsidRDefault="008A0896" w:rsidP="001C1E2C">
            <w:pPr>
              <w:rPr>
                <w:rFonts w:ascii="Arial Narrow" w:hAnsi="Arial Narrow"/>
                <w:sz w:val="20"/>
                <w:szCs w:val="20"/>
              </w:rPr>
            </w:pPr>
          </w:p>
        </w:tc>
      </w:tr>
    </w:tbl>
    <w:p w:rsidR="00B20D61" w:rsidRDefault="00B20D61" w:rsidP="00B20D61">
      <w:pPr>
        <w:spacing w:after="0"/>
        <w:ind w:left="720"/>
        <w:jc w:val="both"/>
        <w:rPr>
          <w:rFonts w:ascii="Arial Narrow" w:hAnsi="Arial Narrow"/>
          <w:sz w:val="20"/>
          <w:szCs w:val="20"/>
        </w:rPr>
      </w:pPr>
    </w:p>
    <w:p w:rsidR="007C7B96" w:rsidRPr="0069533C" w:rsidRDefault="007C7B96" w:rsidP="007C7B96">
      <w:pPr>
        <w:spacing w:after="0"/>
        <w:jc w:val="both"/>
        <w:rPr>
          <w:rFonts w:ascii="Arial Narrow" w:hAnsi="Arial Narrow"/>
          <w:b/>
          <w:sz w:val="20"/>
          <w:szCs w:val="20"/>
        </w:rPr>
      </w:pPr>
      <w:r>
        <w:rPr>
          <w:rFonts w:ascii="Arial Narrow" w:hAnsi="Arial Narrow"/>
          <w:b/>
          <w:sz w:val="20"/>
          <w:szCs w:val="20"/>
        </w:rPr>
        <w:t xml:space="preserve">     </w:t>
      </w:r>
      <w:r w:rsidRPr="0069533C">
        <w:rPr>
          <w:rFonts w:ascii="Arial Narrow" w:hAnsi="Arial Narrow"/>
          <w:b/>
          <w:sz w:val="20"/>
          <w:szCs w:val="20"/>
        </w:rPr>
        <w:t>A15.</w:t>
      </w:r>
      <w:r w:rsidRPr="0069533C">
        <w:rPr>
          <w:rFonts w:ascii="Arial Narrow" w:hAnsi="Arial Narrow"/>
          <w:b/>
          <w:sz w:val="20"/>
          <w:szCs w:val="20"/>
        </w:rPr>
        <w:tab/>
        <w:t>Related party transactions</w:t>
      </w:r>
    </w:p>
    <w:p w:rsidR="007C7B96" w:rsidRPr="0069533C" w:rsidRDefault="007C7B96" w:rsidP="007C7B96">
      <w:pPr>
        <w:spacing w:after="0"/>
        <w:ind w:left="720"/>
        <w:jc w:val="both"/>
        <w:rPr>
          <w:rFonts w:ascii="Arial Narrow" w:hAnsi="Arial Narrow"/>
          <w:sz w:val="20"/>
          <w:szCs w:val="20"/>
        </w:rPr>
      </w:pPr>
    </w:p>
    <w:p w:rsidR="007C7B96" w:rsidRDefault="007C7B96" w:rsidP="007C7B96">
      <w:pPr>
        <w:spacing w:after="0"/>
        <w:ind w:left="720"/>
        <w:jc w:val="both"/>
        <w:rPr>
          <w:rFonts w:ascii="Arial Narrow" w:hAnsi="Arial Narrow"/>
          <w:sz w:val="20"/>
          <w:szCs w:val="20"/>
        </w:rPr>
      </w:pPr>
      <w:r w:rsidRPr="0069533C">
        <w:rPr>
          <w:rFonts w:ascii="Arial Narrow" w:hAnsi="Arial Narrow"/>
          <w:sz w:val="20"/>
          <w:szCs w:val="20"/>
        </w:rPr>
        <w:t>The Company entered into the following transaction in the normal course of business with a related party during the financial quarter under review.</w:t>
      </w:r>
    </w:p>
    <w:p w:rsidR="00826EFC" w:rsidRDefault="00826EFC" w:rsidP="00292A32">
      <w:pPr>
        <w:spacing w:after="0"/>
        <w:ind w:left="720"/>
        <w:jc w:val="both"/>
        <w:rPr>
          <w:rFonts w:ascii="Arial Narrow" w:hAnsi="Arial Narrow"/>
          <w:sz w:val="20"/>
          <w:szCs w:val="20"/>
        </w:rPr>
      </w:pPr>
    </w:p>
    <w:tbl>
      <w:tblPr>
        <w:tblStyle w:val="TableGrid"/>
        <w:tblW w:w="0" w:type="auto"/>
        <w:tblInd w:w="720" w:type="dxa"/>
        <w:tblLook w:val="04A0"/>
      </w:tblPr>
      <w:tblGrid>
        <w:gridCol w:w="2180"/>
        <w:gridCol w:w="2216"/>
        <w:gridCol w:w="2301"/>
        <w:gridCol w:w="2159"/>
      </w:tblGrid>
      <w:tr w:rsidR="0069533C" w:rsidTr="00D35273">
        <w:tc>
          <w:tcPr>
            <w:tcW w:w="2180" w:type="dxa"/>
          </w:tcPr>
          <w:p w:rsidR="0069533C" w:rsidRDefault="0069533C" w:rsidP="00292A32">
            <w:pPr>
              <w:jc w:val="both"/>
              <w:rPr>
                <w:rFonts w:ascii="Arial Narrow" w:hAnsi="Arial Narrow"/>
                <w:sz w:val="20"/>
                <w:szCs w:val="20"/>
              </w:rPr>
            </w:pPr>
            <w:r>
              <w:rPr>
                <w:rFonts w:ascii="Arial Narrow" w:hAnsi="Arial Narrow"/>
                <w:sz w:val="20"/>
                <w:szCs w:val="20"/>
              </w:rPr>
              <w:t>Related parties</w:t>
            </w:r>
          </w:p>
        </w:tc>
        <w:tc>
          <w:tcPr>
            <w:tcW w:w="2216" w:type="dxa"/>
          </w:tcPr>
          <w:p w:rsidR="0069533C" w:rsidRDefault="0069533C" w:rsidP="00292A32">
            <w:pPr>
              <w:jc w:val="both"/>
              <w:rPr>
                <w:rFonts w:ascii="Arial Narrow" w:hAnsi="Arial Narrow"/>
                <w:sz w:val="20"/>
                <w:szCs w:val="20"/>
              </w:rPr>
            </w:pPr>
            <w:r>
              <w:rPr>
                <w:rFonts w:ascii="Arial Narrow" w:hAnsi="Arial Narrow"/>
                <w:sz w:val="20"/>
                <w:szCs w:val="20"/>
              </w:rPr>
              <w:t>Nature of transaction</w:t>
            </w:r>
          </w:p>
        </w:tc>
        <w:tc>
          <w:tcPr>
            <w:tcW w:w="2301" w:type="dxa"/>
          </w:tcPr>
          <w:p w:rsidR="0069533C" w:rsidRDefault="0069533C" w:rsidP="00292A32">
            <w:pPr>
              <w:jc w:val="both"/>
              <w:rPr>
                <w:rFonts w:ascii="Arial Narrow" w:hAnsi="Arial Narrow"/>
                <w:sz w:val="20"/>
                <w:szCs w:val="20"/>
              </w:rPr>
            </w:pPr>
            <w:r>
              <w:rPr>
                <w:rFonts w:ascii="Arial Narrow" w:hAnsi="Arial Narrow"/>
                <w:sz w:val="20"/>
                <w:szCs w:val="20"/>
              </w:rPr>
              <w:t>Interest of substantial /major shareholders/director</w:t>
            </w:r>
          </w:p>
        </w:tc>
        <w:tc>
          <w:tcPr>
            <w:tcW w:w="2159" w:type="dxa"/>
            <w:vAlign w:val="bottom"/>
          </w:tcPr>
          <w:p w:rsidR="0069533C" w:rsidRDefault="0069533C" w:rsidP="0069533C">
            <w:pPr>
              <w:jc w:val="center"/>
              <w:rPr>
                <w:rFonts w:ascii="Arial Narrow" w:hAnsi="Arial Narrow"/>
                <w:sz w:val="20"/>
                <w:szCs w:val="20"/>
              </w:rPr>
            </w:pPr>
            <w:r>
              <w:rPr>
                <w:rFonts w:ascii="Arial Narrow" w:hAnsi="Arial Narrow"/>
                <w:sz w:val="20"/>
                <w:szCs w:val="20"/>
              </w:rPr>
              <w:t>RM’000</w:t>
            </w:r>
          </w:p>
        </w:tc>
      </w:tr>
      <w:tr w:rsidR="0069533C" w:rsidTr="00D35273">
        <w:tc>
          <w:tcPr>
            <w:tcW w:w="2180" w:type="dxa"/>
          </w:tcPr>
          <w:p w:rsidR="0069533C" w:rsidRDefault="0069533C" w:rsidP="00292A32">
            <w:pPr>
              <w:jc w:val="both"/>
              <w:rPr>
                <w:rFonts w:ascii="Arial Narrow" w:hAnsi="Arial Narrow"/>
                <w:sz w:val="20"/>
                <w:szCs w:val="20"/>
              </w:rPr>
            </w:pPr>
          </w:p>
        </w:tc>
        <w:tc>
          <w:tcPr>
            <w:tcW w:w="2216" w:type="dxa"/>
          </w:tcPr>
          <w:p w:rsidR="0069533C" w:rsidRDefault="0069533C" w:rsidP="00292A32">
            <w:pPr>
              <w:jc w:val="both"/>
              <w:rPr>
                <w:rFonts w:ascii="Arial Narrow" w:hAnsi="Arial Narrow"/>
                <w:sz w:val="20"/>
                <w:szCs w:val="20"/>
              </w:rPr>
            </w:pPr>
          </w:p>
        </w:tc>
        <w:tc>
          <w:tcPr>
            <w:tcW w:w="2301" w:type="dxa"/>
          </w:tcPr>
          <w:p w:rsidR="0069533C" w:rsidRDefault="0069533C" w:rsidP="00292A32">
            <w:pPr>
              <w:jc w:val="both"/>
              <w:rPr>
                <w:rFonts w:ascii="Arial Narrow" w:hAnsi="Arial Narrow"/>
                <w:sz w:val="20"/>
                <w:szCs w:val="20"/>
              </w:rPr>
            </w:pPr>
          </w:p>
        </w:tc>
        <w:tc>
          <w:tcPr>
            <w:tcW w:w="2159" w:type="dxa"/>
          </w:tcPr>
          <w:p w:rsidR="0069533C" w:rsidRDefault="0069533C" w:rsidP="00292A32">
            <w:pPr>
              <w:jc w:val="both"/>
              <w:rPr>
                <w:rFonts w:ascii="Arial Narrow" w:hAnsi="Arial Narrow"/>
                <w:sz w:val="20"/>
                <w:szCs w:val="20"/>
              </w:rPr>
            </w:pPr>
          </w:p>
        </w:tc>
      </w:tr>
      <w:tr w:rsidR="0069533C" w:rsidTr="00D35273">
        <w:tc>
          <w:tcPr>
            <w:tcW w:w="2180" w:type="dxa"/>
          </w:tcPr>
          <w:p w:rsidR="0069533C" w:rsidRDefault="0069533C" w:rsidP="00292A32">
            <w:pPr>
              <w:jc w:val="both"/>
              <w:rPr>
                <w:rFonts w:ascii="Arial Narrow" w:hAnsi="Arial Narrow"/>
                <w:sz w:val="20"/>
                <w:szCs w:val="20"/>
              </w:rPr>
            </w:pPr>
            <w:r>
              <w:rPr>
                <w:rFonts w:ascii="Arial Narrow" w:hAnsi="Arial Narrow"/>
                <w:sz w:val="20"/>
                <w:szCs w:val="20"/>
              </w:rPr>
              <w:t>PT Turbo Mechin</w:t>
            </w:r>
          </w:p>
        </w:tc>
        <w:tc>
          <w:tcPr>
            <w:tcW w:w="2216" w:type="dxa"/>
          </w:tcPr>
          <w:p w:rsidR="0069533C" w:rsidRDefault="0069533C" w:rsidP="00292A32">
            <w:pPr>
              <w:jc w:val="both"/>
              <w:rPr>
                <w:rFonts w:ascii="Arial Narrow" w:hAnsi="Arial Narrow"/>
                <w:sz w:val="20"/>
                <w:szCs w:val="20"/>
              </w:rPr>
            </w:pPr>
            <w:r>
              <w:rPr>
                <w:rFonts w:ascii="Arial Narrow" w:hAnsi="Arial Narrow"/>
                <w:sz w:val="20"/>
                <w:szCs w:val="20"/>
              </w:rPr>
              <w:t>Sales of industrial cooling fans</w:t>
            </w:r>
          </w:p>
        </w:tc>
        <w:tc>
          <w:tcPr>
            <w:tcW w:w="2301" w:type="dxa"/>
          </w:tcPr>
          <w:p w:rsidR="0069533C" w:rsidRDefault="0069533C" w:rsidP="00292A32">
            <w:pPr>
              <w:jc w:val="both"/>
              <w:rPr>
                <w:rFonts w:ascii="Arial Narrow" w:hAnsi="Arial Narrow"/>
                <w:sz w:val="20"/>
                <w:szCs w:val="20"/>
              </w:rPr>
            </w:pPr>
            <w:r>
              <w:rPr>
                <w:rFonts w:ascii="Arial Narrow" w:hAnsi="Arial Narrow"/>
                <w:sz w:val="20"/>
                <w:szCs w:val="20"/>
              </w:rPr>
              <w:t>Achmad Atim Kasmanto</w:t>
            </w:r>
          </w:p>
        </w:tc>
        <w:tc>
          <w:tcPr>
            <w:tcW w:w="2159" w:type="dxa"/>
            <w:vAlign w:val="bottom"/>
          </w:tcPr>
          <w:p w:rsidR="0069533C" w:rsidRDefault="003923D8" w:rsidP="00723268">
            <w:pPr>
              <w:jc w:val="center"/>
              <w:rPr>
                <w:rFonts w:ascii="Arial Narrow" w:hAnsi="Arial Narrow"/>
                <w:sz w:val="20"/>
                <w:szCs w:val="20"/>
              </w:rPr>
            </w:pPr>
            <w:r>
              <w:rPr>
                <w:rFonts w:ascii="Arial Narrow" w:hAnsi="Arial Narrow"/>
                <w:sz w:val="20"/>
                <w:szCs w:val="20"/>
              </w:rPr>
              <w:t>1</w:t>
            </w:r>
            <w:r w:rsidR="00723268">
              <w:rPr>
                <w:rFonts w:ascii="Arial Narrow" w:hAnsi="Arial Narrow"/>
                <w:sz w:val="20"/>
                <w:szCs w:val="20"/>
              </w:rPr>
              <w:t>60</w:t>
            </w:r>
          </w:p>
        </w:tc>
      </w:tr>
      <w:tr w:rsidR="0069533C" w:rsidTr="00D35273">
        <w:tc>
          <w:tcPr>
            <w:tcW w:w="2180" w:type="dxa"/>
          </w:tcPr>
          <w:p w:rsidR="0069533C" w:rsidRDefault="005D0FA9" w:rsidP="00292A32">
            <w:pPr>
              <w:jc w:val="both"/>
              <w:rPr>
                <w:rFonts w:ascii="Arial Narrow" w:hAnsi="Arial Narrow"/>
                <w:sz w:val="20"/>
                <w:szCs w:val="20"/>
              </w:rPr>
            </w:pPr>
            <w:r>
              <w:rPr>
                <w:rFonts w:ascii="Arial Narrow" w:hAnsi="Arial Narrow"/>
                <w:sz w:val="20"/>
                <w:szCs w:val="20"/>
              </w:rPr>
              <w:t>Bayu Purnama Sdn Bhd</w:t>
            </w:r>
          </w:p>
        </w:tc>
        <w:tc>
          <w:tcPr>
            <w:tcW w:w="2216" w:type="dxa"/>
          </w:tcPr>
          <w:p w:rsidR="0069533C" w:rsidRDefault="005D0FA9" w:rsidP="00292A32">
            <w:pPr>
              <w:jc w:val="both"/>
              <w:rPr>
                <w:rFonts w:ascii="Arial Narrow" w:hAnsi="Arial Narrow"/>
                <w:sz w:val="20"/>
                <w:szCs w:val="20"/>
              </w:rPr>
            </w:pPr>
            <w:r>
              <w:rPr>
                <w:rFonts w:ascii="Arial Narrow" w:hAnsi="Arial Narrow"/>
                <w:sz w:val="20"/>
                <w:szCs w:val="20"/>
              </w:rPr>
              <w:t>Sales of sundyne nikkiso spare</w:t>
            </w:r>
          </w:p>
        </w:tc>
        <w:tc>
          <w:tcPr>
            <w:tcW w:w="2301" w:type="dxa"/>
          </w:tcPr>
          <w:p w:rsidR="0069533C" w:rsidRDefault="005D0FA9" w:rsidP="00292A32">
            <w:pPr>
              <w:jc w:val="both"/>
              <w:rPr>
                <w:rFonts w:ascii="Arial Narrow" w:hAnsi="Arial Narrow"/>
                <w:sz w:val="20"/>
                <w:szCs w:val="20"/>
              </w:rPr>
            </w:pPr>
            <w:r>
              <w:rPr>
                <w:rFonts w:ascii="Arial Narrow" w:hAnsi="Arial Narrow"/>
                <w:sz w:val="20"/>
                <w:szCs w:val="20"/>
              </w:rPr>
              <w:t>Salmiah binti Jantan</w:t>
            </w:r>
          </w:p>
        </w:tc>
        <w:tc>
          <w:tcPr>
            <w:tcW w:w="2159" w:type="dxa"/>
            <w:vAlign w:val="bottom"/>
          </w:tcPr>
          <w:p w:rsidR="0069533C" w:rsidRDefault="003923D8" w:rsidP="005D0FA9">
            <w:pPr>
              <w:jc w:val="center"/>
              <w:rPr>
                <w:rFonts w:ascii="Arial Narrow" w:hAnsi="Arial Narrow"/>
                <w:sz w:val="20"/>
                <w:szCs w:val="20"/>
              </w:rPr>
            </w:pPr>
            <w:r>
              <w:rPr>
                <w:rFonts w:ascii="Arial Narrow" w:hAnsi="Arial Narrow"/>
                <w:sz w:val="20"/>
                <w:szCs w:val="20"/>
              </w:rPr>
              <w:t xml:space="preserve">    </w:t>
            </w:r>
            <w:r w:rsidR="00723268">
              <w:rPr>
                <w:rFonts w:ascii="Arial Narrow" w:hAnsi="Arial Narrow"/>
                <w:sz w:val="20"/>
                <w:szCs w:val="20"/>
              </w:rPr>
              <w:t>8</w:t>
            </w:r>
          </w:p>
        </w:tc>
      </w:tr>
    </w:tbl>
    <w:p w:rsidR="0069533C" w:rsidRDefault="0069533C" w:rsidP="00292A32">
      <w:pPr>
        <w:spacing w:after="0"/>
        <w:ind w:left="720"/>
        <w:jc w:val="both"/>
        <w:rPr>
          <w:rFonts w:ascii="Arial Narrow" w:hAnsi="Arial Narrow"/>
          <w:sz w:val="20"/>
          <w:szCs w:val="20"/>
        </w:rPr>
      </w:pPr>
    </w:p>
    <w:p w:rsidR="0069533C" w:rsidRDefault="0069533C" w:rsidP="00292A32">
      <w:pPr>
        <w:spacing w:after="0"/>
        <w:ind w:left="720"/>
        <w:jc w:val="both"/>
        <w:rPr>
          <w:rFonts w:ascii="Arial Narrow" w:hAnsi="Arial Narrow"/>
          <w:sz w:val="20"/>
          <w:szCs w:val="20"/>
        </w:rPr>
      </w:pPr>
    </w:p>
    <w:p w:rsidR="00292A32" w:rsidRPr="00292A32" w:rsidRDefault="00292A32" w:rsidP="00292A32">
      <w:pPr>
        <w:spacing w:after="0"/>
        <w:ind w:left="720"/>
        <w:jc w:val="both"/>
        <w:rPr>
          <w:rFonts w:ascii="Arial Narrow" w:hAnsi="Arial Narrow"/>
          <w:sz w:val="20"/>
          <w:szCs w:val="20"/>
        </w:rPr>
      </w:pPr>
      <w:r>
        <w:rPr>
          <w:rFonts w:ascii="Arial Narrow" w:hAnsi="Arial Narrow"/>
          <w:sz w:val="20"/>
          <w:szCs w:val="20"/>
        </w:rPr>
        <w:tab/>
      </w:r>
    </w:p>
    <w:sectPr w:rsidR="00292A32" w:rsidRPr="00292A32" w:rsidSect="006811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F3141"/>
    <w:multiLevelType w:val="hybridMultilevel"/>
    <w:tmpl w:val="43FC9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94BC3"/>
    <w:multiLevelType w:val="hybridMultilevel"/>
    <w:tmpl w:val="19DE9ABC"/>
    <w:lvl w:ilvl="0" w:tplc="D6EE06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EF87D9A"/>
    <w:multiLevelType w:val="hybridMultilevel"/>
    <w:tmpl w:val="ABBCEF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D10397"/>
    <w:multiLevelType w:val="hybridMultilevel"/>
    <w:tmpl w:val="47AC226E"/>
    <w:lvl w:ilvl="0" w:tplc="BE1A81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FC7AB1"/>
    <w:multiLevelType w:val="hybridMultilevel"/>
    <w:tmpl w:val="F3B4D600"/>
    <w:lvl w:ilvl="0" w:tplc="DE0ADF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190F18"/>
    <w:multiLevelType w:val="hybridMultilevel"/>
    <w:tmpl w:val="7B98D7FA"/>
    <w:lvl w:ilvl="0" w:tplc="61A20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8275CC"/>
    <w:multiLevelType w:val="hybridMultilevel"/>
    <w:tmpl w:val="C0A89ED8"/>
    <w:lvl w:ilvl="0" w:tplc="7FDED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DD7A5E"/>
    <w:multiLevelType w:val="hybridMultilevel"/>
    <w:tmpl w:val="34E82F1E"/>
    <w:lvl w:ilvl="0" w:tplc="D98ED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AF0F3A"/>
    <w:multiLevelType w:val="hybridMultilevel"/>
    <w:tmpl w:val="A1C4761C"/>
    <w:lvl w:ilvl="0" w:tplc="FCFE5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760CBD"/>
    <w:multiLevelType w:val="hybridMultilevel"/>
    <w:tmpl w:val="43FC9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9"/>
  </w:num>
  <w:num w:numId="5">
    <w:abstractNumId w:val="8"/>
  </w:num>
  <w:num w:numId="6">
    <w:abstractNumId w:val="6"/>
  </w:num>
  <w:num w:numId="7">
    <w:abstractNumId w:val="3"/>
  </w:num>
  <w:num w:numId="8">
    <w:abstractNumId w:val="5"/>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165B4"/>
    <w:rsid w:val="00000809"/>
    <w:rsid w:val="00012695"/>
    <w:rsid w:val="000158B2"/>
    <w:rsid w:val="00016687"/>
    <w:rsid w:val="00070801"/>
    <w:rsid w:val="00087701"/>
    <w:rsid w:val="000A152A"/>
    <w:rsid w:val="0012794A"/>
    <w:rsid w:val="00132824"/>
    <w:rsid w:val="00147D7B"/>
    <w:rsid w:val="00175018"/>
    <w:rsid w:val="001C1E2C"/>
    <w:rsid w:val="001F2C58"/>
    <w:rsid w:val="00215BB5"/>
    <w:rsid w:val="002164E7"/>
    <w:rsid w:val="00237BA6"/>
    <w:rsid w:val="00292A32"/>
    <w:rsid w:val="002A4AE9"/>
    <w:rsid w:val="002B7186"/>
    <w:rsid w:val="00322EAA"/>
    <w:rsid w:val="00347B35"/>
    <w:rsid w:val="003923D8"/>
    <w:rsid w:val="003D17C2"/>
    <w:rsid w:val="003F1C5F"/>
    <w:rsid w:val="00433B01"/>
    <w:rsid w:val="004A6078"/>
    <w:rsid w:val="004D0CE9"/>
    <w:rsid w:val="00511531"/>
    <w:rsid w:val="00512E89"/>
    <w:rsid w:val="00517305"/>
    <w:rsid w:val="0052237C"/>
    <w:rsid w:val="005371ED"/>
    <w:rsid w:val="00550AFB"/>
    <w:rsid w:val="00581D25"/>
    <w:rsid w:val="00594E69"/>
    <w:rsid w:val="005B528D"/>
    <w:rsid w:val="005D0FA9"/>
    <w:rsid w:val="00602F97"/>
    <w:rsid w:val="006165B4"/>
    <w:rsid w:val="0063215A"/>
    <w:rsid w:val="00637918"/>
    <w:rsid w:val="00654B60"/>
    <w:rsid w:val="006811DD"/>
    <w:rsid w:val="0068716E"/>
    <w:rsid w:val="0069051A"/>
    <w:rsid w:val="0069533C"/>
    <w:rsid w:val="006D6DA0"/>
    <w:rsid w:val="006E6C4C"/>
    <w:rsid w:val="00714615"/>
    <w:rsid w:val="00723268"/>
    <w:rsid w:val="00725B79"/>
    <w:rsid w:val="007A36B9"/>
    <w:rsid w:val="007C7B96"/>
    <w:rsid w:val="007F2FEA"/>
    <w:rsid w:val="00800DBE"/>
    <w:rsid w:val="00826EFC"/>
    <w:rsid w:val="008278EA"/>
    <w:rsid w:val="00834A62"/>
    <w:rsid w:val="00836C4B"/>
    <w:rsid w:val="008A0896"/>
    <w:rsid w:val="008E425F"/>
    <w:rsid w:val="00911B71"/>
    <w:rsid w:val="00942AB9"/>
    <w:rsid w:val="009550C0"/>
    <w:rsid w:val="009604D3"/>
    <w:rsid w:val="00973D85"/>
    <w:rsid w:val="00973D91"/>
    <w:rsid w:val="00982D02"/>
    <w:rsid w:val="00984760"/>
    <w:rsid w:val="009869F4"/>
    <w:rsid w:val="0099546B"/>
    <w:rsid w:val="009A0A27"/>
    <w:rsid w:val="009A1F35"/>
    <w:rsid w:val="009C216A"/>
    <w:rsid w:val="00A13767"/>
    <w:rsid w:val="00A22D27"/>
    <w:rsid w:val="00A61498"/>
    <w:rsid w:val="00AB7995"/>
    <w:rsid w:val="00AB7D4F"/>
    <w:rsid w:val="00AC17C1"/>
    <w:rsid w:val="00AF0DF1"/>
    <w:rsid w:val="00AF39F5"/>
    <w:rsid w:val="00AF6798"/>
    <w:rsid w:val="00B13668"/>
    <w:rsid w:val="00B20D61"/>
    <w:rsid w:val="00B3512E"/>
    <w:rsid w:val="00B53006"/>
    <w:rsid w:val="00B75D3C"/>
    <w:rsid w:val="00B8039B"/>
    <w:rsid w:val="00B821AD"/>
    <w:rsid w:val="00BA0ABC"/>
    <w:rsid w:val="00BA4562"/>
    <w:rsid w:val="00BA4BD2"/>
    <w:rsid w:val="00BD51B6"/>
    <w:rsid w:val="00C15507"/>
    <w:rsid w:val="00C15A79"/>
    <w:rsid w:val="00C23B4C"/>
    <w:rsid w:val="00C31B79"/>
    <w:rsid w:val="00C3686D"/>
    <w:rsid w:val="00C5151B"/>
    <w:rsid w:val="00C56F01"/>
    <w:rsid w:val="00C6386B"/>
    <w:rsid w:val="00CB132F"/>
    <w:rsid w:val="00CB4057"/>
    <w:rsid w:val="00CD0046"/>
    <w:rsid w:val="00CE195D"/>
    <w:rsid w:val="00D001F2"/>
    <w:rsid w:val="00D04ADE"/>
    <w:rsid w:val="00D11362"/>
    <w:rsid w:val="00D14458"/>
    <w:rsid w:val="00D161F5"/>
    <w:rsid w:val="00D35273"/>
    <w:rsid w:val="00D53EF4"/>
    <w:rsid w:val="00D55BEF"/>
    <w:rsid w:val="00D62EC6"/>
    <w:rsid w:val="00D651E1"/>
    <w:rsid w:val="00D70B55"/>
    <w:rsid w:val="00D97BCE"/>
    <w:rsid w:val="00DD2ACB"/>
    <w:rsid w:val="00E05CDE"/>
    <w:rsid w:val="00E20C5F"/>
    <w:rsid w:val="00E35B53"/>
    <w:rsid w:val="00E42319"/>
    <w:rsid w:val="00E43A89"/>
    <w:rsid w:val="00E63204"/>
    <w:rsid w:val="00EA790D"/>
    <w:rsid w:val="00ED552F"/>
    <w:rsid w:val="00ED72C5"/>
    <w:rsid w:val="00EE10DB"/>
    <w:rsid w:val="00EE1338"/>
    <w:rsid w:val="00F331C1"/>
    <w:rsid w:val="00F45F62"/>
    <w:rsid w:val="00F87204"/>
    <w:rsid w:val="00FD434F"/>
    <w:rsid w:val="00FE0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65B4"/>
    <w:pPr>
      <w:ind w:left="720"/>
      <w:contextualSpacing/>
    </w:pPr>
  </w:style>
  <w:style w:type="table" w:styleId="TableGrid">
    <w:name w:val="Table Grid"/>
    <w:basedOn w:val="TableNormal"/>
    <w:uiPriority w:val="59"/>
    <w:rsid w:val="009954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4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25F"/>
    <w:rPr>
      <w:rFonts w:ascii="Tahoma" w:hAnsi="Tahoma" w:cs="Tahoma"/>
      <w:sz w:val="16"/>
      <w:szCs w:val="16"/>
    </w:rPr>
  </w:style>
  <w:style w:type="character" w:styleId="CommentReference">
    <w:name w:val="annotation reference"/>
    <w:basedOn w:val="DefaultParagraphFont"/>
    <w:uiPriority w:val="99"/>
    <w:semiHidden/>
    <w:unhideWhenUsed/>
    <w:rsid w:val="008E425F"/>
    <w:rPr>
      <w:sz w:val="16"/>
      <w:szCs w:val="16"/>
    </w:rPr>
  </w:style>
  <w:style w:type="paragraph" w:styleId="CommentText">
    <w:name w:val="annotation text"/>
    <w:basedOn w:val="Normal"/>
    <w:link w:val="CommentTextChar"/>
    <w:uiPriority w:val="99"/>
    <w:semiHidden/>
    <w:unhideWhenUsed/>
    <w:rsid w:val="008E425F"/>
    <w:pPr>
      <w:spacing w:line="240" w:lineRule="auto"/>
    </w:pPr>
    <w:rPr>
      <w:sz w:val="20"/>
      <w:szCs w:val="20"/>
    </w:rPr>
  </w:style>
  <w:style w:type="character" w:customStyle="1" w:styleId="CommentTextChar">
    <w:name w:val="Comment Text Char"/>
    <w:basedOn w:val="DefaultParagraphFont"/>
    <w:link w:val="CommentText"/>
    <w:uiPriority w:val="99"/>
    <w:semiHidden/>
    <w:rsid w:val="008E425F"/>
    <w:rPr>
      <w:sz w:val="20"/>
      <w:szCs w:val="20"/>
    </w:rPr>
  </w:style>
  <w:style w:type="paragraph" w:styleId="CommentSubject">
    <w:name w:val="annotation subject"/>
    <w:basedOn w:val="CommentText"/>
    <w:next w:val="CommentText"/>
    <w:link w:val="CommentSubjectChar"/>
    <w:uiPriority w:val="99"/>
    <w:semiHidden/>
    <w:unhideWhenUsed/>
    <w:rsid w:val="008E425F"/>
    <w:rPr>
      <w:b/>
      <w:bCs/>
    </w:rPr>
  </w:style>
  <w:style w:type="character" w:customStyle="1" w:styleId="CommentSubjectChar">
    <w:name w:val="Comment Subject Char"/>
    <w:basedOn w:val="CommentTextChar"/>
    <w:link w:val="CommentSubject"/>
    <w:uiPriority w:val="99"/>
    <w:semiHidden/>
    <w:rsid w:val="008E425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2FDB-5038-4318-A051-3C8FCD6E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dcterms:created xsi:type="dcterms:W3CDTF">2010-08-04T03:17:00Z</dcterms:created>
  <dcterms:modified xsi:type="dcterms:W3CDTF">2010-08-09T02:57:00Z</dcterms:modified>
</cp:coreProperties>
</file>